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1.png" ContentType="image/png"/>
  <Override PartName="/word/media/rId24.png" ContentType="image/png"/>
  <Override PartName="/word/media/rId27.png" ContentType="image/png"/>
  <Override PartName="/word/media/rId30.png" ContentType="image/png"/>
  <Override PartName="/word/media/rId36.png" ContentType="image/png"/>
  <Override PartName="/word/media/rId39.png" ContentType="image/png"/>
  <Override PartName="/word/media/rId42.png" ContentType="image/png"/>
  <Override PartName="/word/media/rId45.png" ContentType="image/png"/>
  <Override PartName="/word/media/rId49.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SCM</w:t>
      </w:r>
    </w:p>
    <w:p>
      <w:pPr>
        <w:pStyle w:val="Author"/>
      </w:pPr>
      <w:r>
        <w:t xml:space="preserve">Krisna Gupta</w:t>
      </w:r>
    </w:p>
    <w:p>
      <w:pPr>
        <w:pStyle w:val="Date"/>
      </w:pPr>
      <w:r>
        <w:t xml:space="preserve">September 3, 2025</w:t>
      </w:r>
    </w:p>
    <w:p>
      <w:pPr>
        <w:pStyle w:val="FirstParagraph"/>
      </w:pPr>
      <w:r>
        <w:t xml:space="preserve">We try varios SCM with the investment data. Data is extracted from UNCTAD to get panel data of countries, various measures of FDI, and we get GDP and Population for control variable. The synthetic countries that we pick are all countries considered developing in the dataset bar unbalanced panel (unfortunately some countries has incomplete series). The result is a set of developing countries that balanced.</w:t>
      </w:r>
    </w:p>
    <w:p>
      <w:pPr>
        <w:pStyle w:val="BodyText"/>
      </w:pPr>
      <w:r>
        <w:t xml:space="preserve">The list of countries that serves as control units are as follows</w:t>
      </w:r>
    </w:p>
    <w:p>
      <w:pPr>
        <w:pStyle w:val="SourceCode"/>
      </w:pPr>
      <w:r>
        <w:rPr>
          <w:rStyle w:val="VerbatimChar"/>
        </w:rPr>
        <w:t xml:space="preserve"> [1] "Brunei"               "Bulgaria"             "Chile"               </w:t>
      </w:r>
      <w:r>
        <w:br/>
      </w:r>
      <w:r>
        <w:rPr>
          <w:rStyle w:val="VerbatimChar"/>
        </w:rPr>
        <w:t xml:space="preserve"> [4] "China"                "Colombia"             "Costa Rica"          </w:t>
      </w:r>
      <w:r>
        <w:br/>
      </w:r>
      <w:r>
        <w:rPr>
          <w:rStyle w:val="VerbatimChar"/>
        </w:rPr>
        <w:t xml:space="preserve"> [7] "Egypt"                "Hungary"              "Iceland"             </w:t>
      </w:r>
      <w:r>
        <w:br/>
      </w:r>
      <w:r>
        <w:rPr>
          <w:rStyle w:val="VerbatimChar"/>
        </w:rPr>
        <w:t xml:space="preserve">[10] "India"                "Indonesia"            "Laos"                </w:t>
      </w:r>
      <w:r>
        <w:br/>
      </w:r>
      <w:r>
        <w:rPr>
          <w:rStyle w:val="VerbatimChar"/>
        </w:rPr>
        <w:t xml:space="preserve">[13] "Malaysia"             "Mexico"               "Myanmar"             </w:t>
      </w:r>
      <w:r>
        <w:br/>
      </w:r>
      <w:r>
        <w:rPr>
          <w:rStyle w:val="VerbatimChar"/>
        </w:rPr>
        <w:t xml:space="preserve">[16] "Nigeria"              "Peru"                 "Philippines"         </w:t>
      </w:r>
      <w:r>
        <w:br/>
      </w:r>
      <w:r>
        <w:rPr>
          <w:rStyle w:val="VerbatimChar"/>
        </w:rPr>
        <w:t xml:space="preserve">[19] "Poland"               "Romania"              "Russia"              </w:t>
      </w:r>
      <w:r>
        <w:br/>
      </w:r>
      <w:r>
        <w:rPr>
          <w:rStyle w:val="VerbatimChar"/>
        </w:rPr>
        <w:t xml:space="preserve">[22] "Saudi Arabia"         "South Africa"         "Thailand"            </w:t>
      </w:r>
      <w:r>
        <w:br/>
      </w:r>
      <w:r>
        <w:rPr>
          <w:rStyle w:val="VerbatimChar"/>
        </w:rPr>
        <w:t xml:space="preserve">[25] "United Arab Emirates" "Vietnam"             </w:t>
      </w:r>
    </w:p>
    <w:p>
      <w:pPr>
        <w:pStyle w:val="FirstParagraph"/>
      </w:pPr>
      <w:r>
        <w:t xml:space="preserve">Note that Indonesia is in the list because it’s part of the dataset.</w:t>
      </w:r>
    </w:p>
    <w:p>
      <w:pPr>
        <w:pStyle w:val="BodyText"/>
      </w:pPr>
      <w:r>
        <w:t xml:space="preserve">The treatment is the increase of paid-up capital to 10M IDR in 2021. Data spans from 1990 to 2023. FDI flow is in Million Current USD. For full documentation of the SCM consult to</w:t>
      </w:r>
      <w:r>
        <w:t xml:space="preserve"> </w:t>
      </w:r>
      <w:hyperlink r:id="rId20">
        <w:r>
          <w:rPr>
            <w:rStyle w:val="Hyperlink"/>
          </w:rPr>
          <w:t xml:space="preserve">my github repository</w:t>
        </w:r>
      </w:hyperlink>
    </w:p>
    <w:bookmarkStart w:id="48" w:name="fdi-inflow"/>
    <w:p>
      <w:pPr>
        <w:pStyle w:val="Heading2"/>
      </w:pPr>
      <w:r>
        <w:t xml:space="preserve">FDI inflow</w:t>
      </w:r>
    </w:p>
    <w:p>
      <w:pPr>
        <w:pStyle w:val="FirstParagraph"/>
      </w:pPr>
      <w:r>
        <w:t xml:space="preserve">First we test using FDI Inflow. Unfortunately the synthetic Indonesia produced by the FDI inflow is rather unstable. We try using FDI flow, FDI flow per capita, FDI flow per GDP and FDI flow per GFCF.</w:t>
      </w:r>
    </w:p>
    <w:p>
      <w:pPr>
        <w:pStyle w:val="CaptionedFigure"/>
      </w:pPr>
      <w:r>
        <w:drawing>
          <wp:inline>
            <wp:extent cx="5334000" cy="3200399"/>
            <wp:effectExtent b="0" l="0" r="0" t="0"/>
            <wp:docPr descr="SCM results for FDI inflow" title="" id="22" name="Picture"/>
            <a:graphic>
              <a:graphicData uri="http://schemas.openxmlformats.org/drawingml/2006/picture">
                <pic:pic>
                  <pic:nvPicPr>
                    <pic:cNvPr descr="fig/synth_fdi.png" id="23" name="Picture"/>
                    <pic:cNvPicPr>
                      <a:picLocks noChangeArrowheads="1" noChangeAspect="1"/>
                    </pic:cNvPicPr>
                  </pic:nvPicPr>
                  <pic:blipFill>
                    <a:blip r:embed="rId21"/>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w:t>
      </w:r>
    </w:p>
    <w:p>
      <w:pPr>
        <w:pStyle w:val="CaptionedFigure"/>
      </w:pPr>
      <w:r>
        <w:drawing>
          <wp:inline>
            <wp:extent cx="5334000" cy="3200399"/>
            <wp:effectExtent b="0" l="0" r="0" t="0"/>
            <wp:docPr descr="SCM results for FDI inflow per capita" title="" id="25" name="Picture"/>
            <a:graphic>
              <a:graphicData uri="http://schemas.openxmlformats.org/drawingml/2006/picture">
                <pic:pic>
                  <pic:nvPicPr>
                    <pic:cNvPr descr="fig/synth_fdic.png" id="26" name="Picture"/>
                    <pic:cNvPicPr>
                      <a:picLocks noChangeArrowheads="1" noChangeAspect="1"/>
                    </pic:cNvPicPr>
                  </pic:nvPicPr>
                  <pic:blipFill>
                    <a:blip r:embed="rId24"/>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capita</w:t>
      </w:r>
    </w:p>
    <w:p>
      <w:pPr>
        <w:pStyle w:val="CaptionedFigure"/>
      </w:pPr>
      <w:r>
        <w:drawing>
          <wp:inline>
            <wp:extent cx="5334000" cy="3200399"/>
            <wp:effectExtent b="0" l="0" r="0" t="0"/>
            <wp:docPr descr="SCM results for FDI inflow per GDP" title="" id="28" name="Picture"/>
            <a:graphic>
              <a:graphicData uri="http://schemas.openxmlformats.org/drawingml/2006/picture">
                <pic:pic>
                  <pic:nvPicPr>
                    <pic:cNvPr descr="fig/synth_gdp.png" id="29" name="Picture"/>
                    <pic:cNvPicPr>
                      <a:picLocks noChangeArrowheads="1" noChangeAspect="1"/>
                    </pic:cNvPicPr>
                  </pic:nvPicPr>
                  <pic:blipFill>
                    <a:blip r:embed="rId2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GDP</w:t>
      </w:r>
    </w:p>
    <w:p>
      <w:pPr>
        <w:pStyle w:val="CaptionedFigure"/>
      </w:pPr>
      <w:r>
        <w:drawing>
          <wp:inline>
            <wp:extent cx="5334000" cy="3200399"/>
            <wp:effectExtent b="0" l="0" r="0" t="0"/>
            <wp:docPr descr="SCM results for FDI inflow per GFCF" title="" id="31" name="Picture"/>
            <a:graphic>
              <a:graphicData uri="http://schemas.openxmlformats.org/drawingml/2006/picture">
                <pic:pic>
                  <pic:nvPicPr>
                    <pic:cNvPr descr="fig/synth_gfcf.png" id="32" name="Picture"/>
                    <pic:cNvPicPr>
                      <a:picLocks noChangeArrowheads="1" noChangeAspect="1"/>
                    </pic:cNvPicPr>
                  </pic:nvPicPr>
                  <pic:blipFill>
                    <a:blip r:embed="rId30"/>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GFCF</w:t>
      </w:r>
    </w:p>
    <w:p>
      <w:pPr>
        <w:pStyle w:val="BodyText"/>
      </w:pPr>
      <w:r>
        <w:t xml:space="preserve">We also try running the SCM using sectoral FDI vis-a-vis national FDI. The sectoral FDI is obtained through CEIC. It consists of ISIC rev.4 2 digit category and then aggregated into five different sectoral categories: extractive, manufacturing capital intensive, manufacturing labor intensive, services capital intensive and services labor intensive. We unfortunately have to use the same control unit (i.e., national FDI inflow by countries) because we cannot obtain sectoral FDI from our original control unit.</w:t>
      </w:r>
    </w:p>
    <w:p>
      <w:pPr>
        <w:pStyle w:val="BodyText"/>
      </w:pPr>
      <w:r>
        <w:t xml:space="preserve">Again, we get inconsistent synthetic sectors. See below.</w:t>
      </w:r>
    </w:p>
    <w:p>
      <w:pPr>
        <w:pStyle w:val="CaptionedFigure"/>
      </w:pPr>
      <w:r>
        <w:drawing>
          <wp:inline>
            <wp:extent cx="5334000" cy="3200399"/>
            <wp:effectExtent b="0" l="0" r="0" t="0"/>
            <wp:docPr descr="SCM result for exctractive" title="" id="34" name="Picture"/>
            <a:graphic>
              <a:graphicData uri="http://schemas.openxmlformats.org/drawingml/2006/picture">
                <pic:pic>
                  <pic:nvPicPr>
                    <pic:cNvPr descr="fig/synth_ex.png" id="35" name="Picture"/>
                    <pic:cNvPicPr>
                      <a:picLocks noChangeArrowheads="1" noChangeAspect="1"/>
                    </pic:cNvPicPr>
                  </pic:nvPicPr>
                  <pic:blipFill>
                    <a:blip r:embed="rId3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exctractive</w:t>
      </w:r>
    </w:p>
    <w:p>
      <w:pPr>
        <w:pStyle w:val="CaptionedFigure"/>
      </w:pPr>
      <w:r>
        <w:drawing>
          <wp:inline>
            <wp:extent cx="5334000" cy="3200399"/>
            <wp:effectExtent b="0" l="0" r="0" t="0"/>
            <wp:docPr descr="SCM result for manufacturing capital intensive" title="" id="37" name="Picture"/>
            <a:graphic>
              <a:graphicData uri="http://schemas.openxmlformats.org/drawingml/2006/picture">
                <pic:pic>
                  <pic:nvPicPr>
                    <pic:cNvPr descr="fig/synth_mc.png" id="38" name="Picture"/>
                    <pic:cNvPicPr>
                      <a:picLocks noChangeArrowheads="1" noChangeAspect="1"/>
                    </pic:cNvPicPr>
                  </pic:nvPicPr>
                  <pic:blipFill>
                    <a:blip r:embed="rId3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manufacturing capital intensive</w:t>
      </w:r>
    </w:p>
    <w:p>
      <w:pPr>
        <w:pStyle w:val="CaptionedFigure"/>
      </w:pPr>
      <w:r>
        <w:drawing>
          <wp:inline>
            <wp:extent cx="5334000" cy="3200399"/>
            <wp:effectExtent b="0" l="0" r="0" t="0"/>
            <wp:docPr descr="SCM result of manufacturing labor intensive" title="" id="40" name="Picture"/>
            <a:graphic>
              <a:graphicData uri="http://schemas.openxmlformats.org/drawingml/2006/picture">
                <pic:pic>
                  <pic:nvPicPr>
                    <pic:cNvPr descr="fig/synth_ml.png" id="41" name="Picture"/>
                    <pic:cNvPicPr>
                      <a:picLocks noChangeArrowheads="1" noChangeAspect="1"/>
                    </pic:cNvPicPr>
                  </pic:nvPicPr>
                  <pic:blipFill>
                    <a:blip r:embed="rId3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manufacturing labor intensive</w:t>
      </w:r>
    </w:p>
    <w:p>
      <w:pPr>
        <w:pStyle w:val="CaptionedFigure"/>
      </w:pPr>
      <w:r>
        <w:drawing>
          <wp:inline>
            <wp:extent cx="5334000" cy="3200399"/>
            <wp:effectExtent b="0" l="0" r="0" t="0"/>
            <wp:docPr descr="SCM results of services capital intensive" title="" id="43" name="Picture"/>
            <a:graphic>
              <a:graphicData uri="http://schemas.openxmlformats.org/drawingml/2006/picture">
                <pic:pic>
                  <pic:nvPicPr>
                    <pic:cNvPr descr="fig/synth_sc.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of services capital intensive</w:t>
      </w:r>
    </w:p>
    <w:p>
      <w:pPr>
        <w:pStyle w:val="CaptionedFigure"/>
      </w:pPr>
      <w:r>
        <w:drawing>
          <wp:inline>
            <wp:extent cx="5334000" cy="3200399"/>
            <wp:effectExtent b="0" l="0" r="0" t="0"/>
            <wp:docPr descr="SCM result of services labor intensive" title="" id="46" name="Picture"/>
            <a:graphic>
              <a:graphicData uri="http://schemas.openxmlformats.org/drawingml/2006/picture">
                <pic:pic>
                  <pic:nvPicPr>
                    <pic:cNvPr descr="fig/synth_sl.png" id="47" name="Picture"/>
                    <pic:cNvPicPr>
                      <a:picLocks noChangeArrowheads="1" noChangeAspect="1"/>
                    </pic:cNvPicPr>
                  </pic:nvPicPr>
                  <pic:blipFill>
                    <a:blip r:embed="rId4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services labor intensive</w:t>
      </w:r>
    </w:p>
    <w:bookmarkEnd w:id="48"/>
    <w:bookmarkStart w:id="58" w:name="fdi-stock"/>
    <w:p>
      <w:pPr>
        <w:pStyle w:val="Heading2"/>
      </w:pPr>
      <w:r>
        <w:t xml:space="preserve">FDI Stock</w:t>
      </w:r>
    </w:p>
    <w:p>
      <w:pPr>
        <w:pStyle w:val="FirstParagraph"/>
      </w:pPr>
      <w:r>
        <w:t xml:space="preserve">FDI stock have a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50" name="Picture"/>
            <a:graphic>
              <a:graphicData uri="http://schemas.openxmlformats.org/drawingml/2006/picture">
                <pic:pic>
                  <pic:nvPicPr>
                    <pic:cNvPr descr="fig/synth_stock.png" id="51" name="Picture"/>
                    <pic:cNvPicPr>
                      <a:picLocks noChangeArrowheads="1" noChangeAspect="1"/>
                    </pic:cNvPicPr>
                  </pic:nvPicPr>
                  <pic:blipFill>
                    <a:blip r:embed="rId4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53" name="Picture"/>
            <a:graphic>
              <a:graphicData uri="http://schemas.openxmlformats.org/drawingml/2006/picture">
                <pic:pic>
                  <pic:nvPicPr>
                    <pic:cNvPr descr="fig/synth_stockc.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56" name="Picture"/>
            <a:graphic>
              <a:graphicData uri="http://schemas.openxmlformats.org/drawingml/2006/picture">
                <pic:pic>
                  <pic:nvPicPr>
                    <pic:cNvPr descr="fig/synth_stockg.png" id="57" name="Picture"/>
                    <pic:cNvPicPr>
                      <a:picLocks noChangeArrowheads="1" noChangeAspect="1"/>
                    </pic:cNvPicPr>
                  </pic:nvPicPr>
                  <pic:blipFill>
                    <a:blip r:embed="rId5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58"/>
    <w:bookmarkStart w:id="59" w:name="conclusion"/>
    <w:p>
      <w:pPr>
        <w:pStyle w:val="Heading2"/>
      </w:pPr>
      <w:r>
        <w:t xml:space="preserve">Conclusion</w:t>
      </w:r>
    </w:p>
    <w:p>
      <w:pPr>
        <w:pStyle w:val="FirstParagraph"/>
      </w:pPr>
      <w:r>
        <w:t xml:space="preserve">All in all, it is hard to show with certainty the impact of paid-up capital using SCM because there are just so much thing happens during the post-pandemic investment climate. The Omnibus Law is indeed important and there are various other policies that potentially are important than paid-up capital. The SCM results are also sensitive to the variable used. FDI stock seems to be more consistent than FDI inflow, and sectoral FDI is hard to be used because of data limitation.</w:t>
      </w:r>
    </w:p>
    <w:p>
      <w:pPr>
        <w:pStyle w:val="BodyText"/>
      </w:pPr>
      <w:r>
        <w:t xml:space="preserve">We can see from the sectoral results that almost all sectors experience increase in FDI post 2021. Hard to say the paid-up capital causes this since there is no theory that can explain this. More plausible explanation is that there’re other phenomena at play.</w:t>
      </w:r>
    </w:p>
    <w:p>
      <w:pPr>
        <w:pStyle w:val="BodyText"/>
      </w:pPr>
      <w:r>
        <w:t xml:space="preserve">This SCM exercise at least show that the paid-up capital doesn’t seem to significantly change Indonesian FDI. It is also show interesting underperformance post 2017 albeit unrelated with the 2021 paid-up capital. The results from Hasran’s FDI/project may be more important to show its importance. However, a shock in GTAP can still be done to investment, its just we cannot use the finding in this SCM exercise as the justification for the shock. The GTAP exercise will be theoretical and we need to use literature to get the shock.</w:t>
      </w:r>
    </w:p>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20" Target="https://github.com/imedkrisna/minvestmen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imedkrisna/minvest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SCM</dc:title>
  <dc:creator>Krisna Gupta</dc:creator>
  <cp:keywords/>
  <dcterms:created xsi:type="dcterms:W3CDTF">2025-09-03T05:09:34Z</dcterms:created>
  <dcterms:modified xsi:type="dcterms:W3CDTF">2025-09-03T05:09:34Z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September 3, 2025</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