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5.png" ContentType="image/png"/>
  <Override PartName="/word/media/rId49.png" ContentType="image/png"/>
  <Override PartName="/word/media/rId57.png" ContentType="image/png"/>
  <Override PartName="/word/media/rId6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4,</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0"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1"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1"/>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4"/>
    <w:bookmarkStart w:id="55"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3"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1"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8" w:name="fig-1-1"/>
                      <w:p>
                        <w:pPr>
                          <w:jc w:val="center"/>
                          <w:jc w:val="center"/>
                          <w:jc w:val="center"/>
                        </w:pPr>
                        <w:r>
                          <w:drawing>
                            <wp:inline>
                              <wp:extent cx="2971800" cy="2377440"/>
                              <wp:effectExtent b="0" l="0" r="0" t="0"/>
                              <wp:docPr descr="" title="" id="26" name="Picture"/>
                              <a:graphic>
                                <a:graphicData uri="http://schemas.openxmlformats.org/drawingml/2006/picture">
                                  <pic:pic>
                                    <pic:nvPicPr>
                                      <pic:cNvPr descr="excise_doc_files/figure-docx/fig-1-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8"/>
                    </w:tc>
                  </w:tr>
                </w:tbl>
                <w:p/>
              </w:tc>
              <w:tc>
                <w:tcPr/>
                <w:tbl>
                  <w:tblPr>
                    <w:tblStyle w:val="Table"/>
                    <w:tblW w:type="pct" w:w="5000"/>
                    <w:tblLook w:firstRow="0" w:lastRow="0" w:firstColumn="0" w:lastColumn="0" w:noHBand="0" w:noVBand="0" w:val="0000"/>
                    <w:jc w:val="start"/>
                  </w:tblPr>
                  <w:tblGrid>
                    <w:gridCol w:w="7920"/>
                  </w:tblGrid>
                  <w:tr>
                    <w:tc>
                      <w:tcPr/>
                      <w:bookmarkStart w:id="32" w:name="fig-1-2"/>
                      <w:p>
                        <w:pPr>
                          <w:jc w:val="center"/>
                          <w:jc w:val="center"/>
                          <w:jc w:val="center"/>
                        </w:pPr>
                        <w:r>
                          <w:drawing>
                            <wp:inline>
                              <wp:extent cx="2971800" cy="2377440"/>
                              <wp:effectExtent b="0" l="0" r="0" t="0"/>
                              <wp:docPr descr="" title="" id="30" name="Picture"/>
                              <a:graphic>
                                <a:graphicData uri="http://schemas.openxmlformats.org/drawingml/2006/picture">
                                  <pic:pic>
                                    <pic:nvPicPr>
                                      <pic:cNvPr descr="excise_doc_files/figure-docx/fig-1-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1-3"/>
                      <w:p>
                        <w:pPr>
                          <w:jc w:val="center"/>
                          <w:jc w:val="center"/>
                          <w:jc w:val="center"/>
                        </w:pPr>
                        <w:r>
                          <w:drawing>
                            <wp:inline>
                              <wp:extent cx="2971800" cy="2377440"/>
                              <wp:effectExtent b="0" l="0" r="0" t="0"/>
                              <wp:docPr descr="" title="" id="34" name="Picture"/>
                              <a:graphic>
                                <a:graphicData uri="http://schemas.openxmlformats.org/drawingml/2006/picture">
                                  <pic:pic>
                                    <pic:nvPicPr>
                                      <pic:cNvPr descr="excise_doc_files/figure-docx/fig-1-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40" w:name="fig-1-4"/>
                      <w:p>
                        <w:pPr>
                          <w:jc w:val="center"/>
                          <w:jc w:val="center"/>
                          <w:jc w:val="center"/>
                        </w:pPr>
                        <w:r>
                          <w:drawing>
                            <wp:inline>
                              <wp:extent cx="2971800" cy="2377440"/>
                              <wp:effectExtent b="0" l="0" r="0" t="0"/>
                              <wp:docPr descr="" title="" id="38" name="Picture"/>
                              <a:graphic>
                                <a:graphicData uri="http://schemas.openxmlformats.org/drawingml/2006/picture">
                                  <pic:pic>
                                    <pic:nvPicPr>
                                      <pic:cNvPr descr="excise_doc_files/figure-docx/fig-1-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0"/>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1"/>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hyperlink w:anchor="fig-1-1">
        <w:r>
          <w:rPr>
            <w:rStyle w:val="Hyperlink"/>
          </w:rPr>
          <w:t xml:space="preserve">Figure 1 (a)</w:t>
        </w:r>
      </w:hyperlink>
      <w:r>
        <w:t xml:space="preserve"> </w:t>
      </w:r>
      <w:r>
        <w:t xml:space="preserve">and fig-1-3).</w:t>
      </w:r>
    </w:p>
    <w:p>
      <w:pPr>
        <w:pStyle w:val="BodyText"/>
      </w:pPr>
      <w:hyperlink w:anchor="fig-1-2">
        <w:r>
          <w:rPr>
            <w:rStyle w:val="Hyperlink"/>
          </w:rPr>
          <w:t xml:space="preserve">Figure 1 (b)</w:t>
        </w:r>
      </w:hyperlink>
      <w:r>
        <w:t xml:space="preserve"> </w:t>
      </w:r>
      <w:r>
        <w:t xml:space="preserve">shows the price of each types which are increasing thanks to regulations. SKM and SPM are more expensive than SKT, partly due to a higher tax rate imposed on the machine-made cigarettes (see</w:t>
      </w:r>
      <w:r>
        <w:t xml:space="preserve"> </w:t>
      </w:r>
      <w:hyperlink w:anchor="fig-1-4">
        <w:r>
          <w:rPr>
            <w:rStyle w:val="Hyperlink"/>
          </w:rPr>
          <w:t xml:space="preserve">Figure 1 (d)</w:t>
        </w:r>
      </w:hyperlink>
      <w:r>
        <w:t xml:space="preserve">). This excise structure is design to protect small firms. The tax rate shown in</w:t>
      </w:r>
      <w:r>
        <w:t xml:space="preserve"> </w:t>
      </w:r>
      <w:hyperlink w:anchor="fig-1-4">
        <w:r>
          <w:rPr>
            <w:rStyle w:val="Hyperlink"/>
          </w:rPr>
          <w:t xml:space="preserve">Figure 1 (d)</w:t>
        </w:r>
      </w:hyperlink>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2"/>
      </w:r>
      <w:r>
        <w:t xml:space="preserve">.</w:t>
      </w:r>
    </w:p>
    <w:bookmarkEnd w:id="43"/>
    <w:bookmarkStart w:id="54"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4"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4"/>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3"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2-1"/>
                      <w:p>
                        <w:pPr>
                          <w:jc w:val="center"/>
                          <w:jc w:val="center"/>
                          <w:jc w:val="center"/>
                        </w:pPr>
                        <w:r>
                          <w:drawing>
                            <wp:inline>
                              <wp:extent cx="2971800" cy="2377440"/>
                              <wp:effectExtent b="0" l="0" r="0" t="0"/>
                              <wp:docPr descr="" title="" id="46" name="Picture"/>
                              <a:graphic>
                                <a:graphicData uri="http://schemas.openxmlformats.org/drawingml/2006/picture">
                                  <pic:pic>
                                    <pic:nvPicPr>
                                      <pic:cNvPr descr="excise_doc_files/figure-docx/fig-2-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8"/>
                    </w:tc>
                  </w:tr>
                </w:tbl>
                <w:p/>
              </w:tc>
              <w:tc>
                <w:tcPr/>
                <w:tbl>
                  <w:tblPr>
                    <w:tblStyle w:val="Table"/>
                    <w:tblW w:type="pct" w:w="5000"/>
                    <w:tblLook w:firstRow="0" w:lastRow="0" w:firstColumn="0" w:lastColumn="0" w:noHBand="0" w:noVBand="0" w:val="0000"/>
                    <w:jc w:val="start"/>
                  </w:tblPr>
                  <w:tblGrid>
                    <w:gridCol w:w="7920"/>
                  </w:tblGrid>
                  <w:tr>
                    <w:tc>
                      <w:tcPr/>
                      <w:bookmarkStart w:id="52" w:name="fig-2-2"/>
                      <w:p>
                        <w:pPr>
                          <w:jc w:val="center"/>
                          <w:jc w:val="center"/>
                          <w:jc w:val="center"/>
                        </w:pPr>
                        <w:r>
                          <w:drawing>
                            <wp:inline>
                              <wp:extent cx="2971800" cy="2377440"/>
                              <wp:effectExtent b="0" l="0" r="0" t="0"/>
                              <wp:docPr descr="" title="" id="50" name="Picture"/>
                              <a:graphic>
                                <a:graphicData uri="http://schemas.openxmlformats.org/drawingml/2006/picture">
                                  <pic:pic>
                                    <pic:nvPicPr>
                                      <pic:cNvPr descr="excise_doc_files/figure-docx/fig-2-2.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2"/>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3"/>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4"/>
    <w:bookmarkEnd w:id="55"/>
    <w:bookmarkStart w:id="56"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elasticity parameters</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6"/>
    <w:bookmarkStart w:id="80"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3"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3"/>
          <w:p>
            <w:pPr>
              <w:jc w:val="center"/>
            </w:pPr>
            <w:r>
              <w:drawing>
                <wp:inline>
                  <wp:extent cx="4620126" cy="3696101"/>
                  <wp:effectExtent b="0" l="0" r="0" t="0"/>
                  <wp:docPr descr="" title="" id="58" name="Picture"/>
                  <a:graphic>
                    <a:graphicData uri="http://schemas.openxmlformats.org/drawingml/2006/picture">
                      <pic:pic>
                        <pic:nvPicPr>
                          <pic:cNvPr descr="excise_doc_files/figure-docx/fig-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0"/>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1"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1"/>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2"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3"/>
    <w:bookmarkStart w:id="70"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4"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4"/>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8" w:name="fig-4"/>
          <w:p>
            <w:pPr>
              <w:jc w:val="center"/>
            </w:pPr>
            <w:r>
              <w:drawing>
                <wp:inline>
                  <wp:extent cx="4620126" cy="3696101"/>
                  <wp:effectExtent b="0" l="0" r="0" t="0"/>
                  <wp:docPr descr="" title="" id="66" name="Picture"/>
                  <a:graphic>
                    <a:graphicData uri="http://schemas.openxmlformats.org/drawingml/2006/picture">
                      <pic:pic>
                        <pic:nvPicPr>
                          <pic:cNvPr descr="excise_doc_files/figure-docx/fig-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8"/>
        </w:tc>
      </w:tr>
    </w:tbl>
    <w:p>
      <w:pPr>
        <w:pStyle w:val="BodyText"/>
      </w:pPr>
      <w:r>
        <w:t xml:space="preserve">Again, we find that SKT is different and perhaps needed to be read very carefully.</w:t>
      </w:r>
    </w:p>
    <w:bookmarkStart w:id="69"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9"/>
    <w:p>
      <w:pPr>
        <w:pStyle w:val="BodyText"/>
      </w:pPr>
      <w:r>
        <w:t xml:space="preserve">This estimation result tells us a very strong impact of taxation on prices. That is, for each 1% increase in excise, it passes 0.6219979 % to the consumer via increased price. But SKT may bias this parameter, as can be suggested by</w:t>
      </w:r>
      <w:r>
        <w:t xml:space="preserve"> </w:t>
      </w:r>
      <w:hyperlink w:anchor="fig-4">
        <w:r>
          <w:rPr>
            <w:rStyle w:val="Hyperlink"/>
          </w:rPr>
          <w:t xml:space="preserve">Figure 4</w:t>
        </w:r>
      </w:hyperlink>
      <w:r>
        <w:t xml:space="preserve">.</w:t>
      </w:r>
    </w:p>
    <w:bookmarkEnd w:id="70"/>
    <w:bookmarkStart w:id="77"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1"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1"/>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5" w:name="fig-5"/>
          <w:p>
            <w:pPr>
              <w:jc w:val="center"/>
            </w:pPr>
            <w:r>
              <w:drawing>
                <wp:inline>
                  <wp:extent cx="4620126" cy="3696101"/>
                  <wp:effectExtent b="0" l="0" r="0" t="0"/>
                  <wp:docPr descr="" title="" id="73" name="Picture"/>
                  <a:graphic>
                    <a:graphicData uri="http://schemas.openxmlformats.org/drawingml/2006/picture">
                      <pic:pic>
                        <pic:nvPicPr>
                          <pic:cNvPr descr="excise_doc_files/figure-docx/fig-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wkwkwkkw</w:t>
            </w:r>
          </w:p>
          <w:bookmarkEnd w:id="75"/>
        </w:tc>
      </w:tr>
    </w:tbl>
    <w:bookmarkStart w:id="76"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6"/>
    <w:bookmarkEnd w:id="77"/>
    <w:bookmarkStart w:id="79"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8"/>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9"/>
    <w:bookmarkEnd w:id="80"/>
    <w:bookmarkStart w:id="81"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1"/>
    <w:bookmarkStart w:id="82"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2"/>
        </w:numPr>
      </w:pPr>
      <w:r>
        <w:t xml:space="preserve">traditional cigarettes:</w:t>
      </w:r>
    </w:p>
    <w:p>
      <w:pPr>
        <w:numPr>
          <w:ilvl w:val="1"/>
          <w:numId w:val="1003"/>
        </w:numPr>
      </w:pPr>
      <w:r>
        <w:t xml:space="preserve">quarterly HTP:HJE data is useful.</w:t>
      </w:r>
    </w:p>
    <w:p>
      <w:pPr>
        <w:numPr>
          <w:ilvl w:val="1"/>
          <w:numId w:val="1003"/>
        </w:numPr>
      </w:pPr>
      <w:r>
        <w:t xml:space="preserve">production and revenue data is annual. Common denominator principle suggests we can only use annual data.</w:t>
      </w:r>
    </w:p>
    <w:p>
      <w:pPr>
        <w:numPr>
          <w:ilvl w:val="1"/>
          <w:numId w:val="1003"/>
        </w:numPr>
      </w:pPr>
      <w:r>
        <w:t xml:space="preserve">Data is limited to 2018-2022 for a full year of observation.</w:t>
      </w:r>
    </w:p>
    <w:p>
      <w:pPr>
        <w:numPr>
          <w:ilvl w:val="0"/>
          <w:numId w:val="1002"/>
        </w:numPr>
      </w:pPr>
      <w:r>
        <w:t xml:space="preserve">electronic cigarettes:</w:t>
      </w:r>
    </w:p>
    <w:p>
      <w:pPr>
        <w:numPr>
          <w:ilvl w:val="1"/>
          <w:numId w:val="1004"/>
        </w:numPr>
      </w:pPr>
      <w:r>
        <w:t xml:space="preserve">excellent monthly production and revenue data. However, monthly data often prone to seasonality and cyclicality.</w:t>
      </w:r>
    </w:p>
    <w:p>
      <w:pPr>
        <w:numPr>
          <w:ilvl w:val="1"/>
          <w:numId w:val="1004"/>
        </w:numPr>
      </w:pPr>
      <w:r>
        <w:t xml:space="preserve">HJE and HTP are only available for June 2022 and June 2023.</w:t>
      </w:r>
    </w:p>
    <w:p>
      <w:pPr>
        <w:numPr>
          <w:ilvl w:val="1"/>
          <w:numId w:val="1004"/>
        </w:numPr>
      </w:pPr>
      <w:r>
        <w:t xml:space="preserve">Names of cigs are different between different years.</w:t>
      </w:r>
    </w:p>
    <w:p>
      <w:pPr>
        <w:numPr>
          <w:ilvl w:val="1"/>
          <w:numId w:val="1004"/>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5"/>
        </w:numPr>
      </w:pPr>
      <w:r>
        <w:t xml:space="preserve">have a robust datasets which can easily be extracted into familiar form (i.e., machine readable).</w:t>
      </w:r>
    </w:p>
    <w:p>
      <w:pPr>
        <w:numPr>
          <w:ilvl w:val="0"/>
          <w:numId w:val="1005"/>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2"/>
    <w:bookmarkStart w:id="91" w:name="references"/>
    <w:p>
      <w:pPr>
        <w:pStyle w:val="Heading2"/>
      </w:pPr>
      <w:r>
        <w:t xml:space="preserve">References</w:t>
      </w:r>
    </w:p>
    <w:bookmarkStart w:id="90" w:name="refs"/>
    <w:bookmarkStart w:id="84"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3">
        <w:r>
          <w:rPr>
            <w:rStyle w:val="Hyperlink"/>
          </w:rPr>
          <w:t xml:space="preserve">https://doi.org/10.1177/1010539518783808</w:t>
        </w:r>
      </w:hyperlink>
      <w:r>
        <w:t xml:space="preserve">.</w:t>
      </w:r>
    </w:p>
    <w:bookmarkEnd w:id="84"/>
    <w:bookmarkStart w:id="8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5"/>
    <w:bookmarkStart w:id="8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6">
        <w:r>
          <w:rPr>
            <w:rStyle w:val="Hyperlink"/>
          </w:rPr>
          <w:t xml:space="preserve">https://doi.org/10.1186/1477-7517-8-6</w:t>
        </w:r>
      </w:hyperlink>
      <w:r>
        <w:t xml:space="preserve">.</w:t>
      </w:r>
    </w:p>
    <w:bookmarkEnd w:id="87"/>
    <w:bookmarkStart w:id="8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8">
        <w:r>
          <w:rPr>
            <w:rStyle w:val="Hyperlink"/>
          </w:rPr>
          <w:t xml:space="preserve">https://doi.org/10.1136/tobaccocontrol-2018-054872</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 w:id="42">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8">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2023-11-04T15:17:38Z</dcterms:created>
  <dcterms:modified xsi:type="dcterms:W3CDTF">2023-11-04T15:17:38Z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4, 2023</vt:lpwstr>
  </property>
  <property fmtid="{D5CDD505-2E9C-101B-9397-08002B2CF9AE}" pid="11" name="date-format">
    <vt:lpwstr>long</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Prospera</vt:lpwstr>
  </property>
  <property fmtid="{D5CDD505-2E9C-101B-9397-08002B2CF9AE}" pid="16" name="institutes">
    <vt:lpwstr/>
  </property>
  <property fmtid="{D5CDD505-2E9C-101B-9397-08002B2CF9AE}" pid="17" name="labels">
    <vt:lpwstr/>
  </property>
  <property fmtid="{D5CDD505-2E9C-101B-9397-08002B2CF9AE}" pid="18" name="toc-title">
    <vt:lpwstr>Table of contents</vt:lpwstr>
  </property>
</Properties>
</file>