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40.png" ContentType="image/png"/>
  <Override PartName="/word/media/rId44.png" ContentType="image/png"/>
  <Override PartName="/word/media/rId51.png" ContentType="image/png"/>
  <Override PartName="/word/media/rId5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3,</w:t>
      </w:r>
      <w:r>
        <w:t xml:space="preserve"> </w:t>
      </w:r>
      <w:r>
        <w:t xml:space="preserve">2023</w:t>
      </w:r>
    </w:p>
    <w:bookmarkStart w:id="20" w:name="executive-summary"/>
    <w:p>
      <w:pPr>
        <w:pStyle w:val="Heading2"/>
      </w:pPr>
      <w:r>
        <w:t xml:space="preserve">Executive summary</w:t>
      </w:r>
    </w:p>
    <w:p>
      <w:pPr>
        <w:pStyle w:val="FirstParagraph"/>
      </w:pPr>
      <w:r>
        <w:t xml:space="preserve">aowkoakwoakwo</w:t>
      </w:r>
    </w:p>
    <w:bookmarkEnd w:id="20"/>
    <w:bookmarkStart w:id="21" w:name="introduction"/>
    <w:p>
      <w:pPr>
        <w:pStyle w:val="Heading2"/>
      </w:pPr>
      <w:r>
        <w:t xml:space="preserve">1 Introduction</w:t>
      </w:r>
    </w:p>
    <w:p>
      <w:pPr>
        <w:pStyle w:val="FirstParagraph"/>
      </w:pPr>
      <w:r>
        <w:t xml:space="preserve">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DGCE was starting to collect data (and excise) for e-cigarettes since 2020. It can be argued that e-cigs created an alternative to traditional cigarettes, which may</w:t>
      </w:r>
    </w:p>
    <w:p>
      <w:pPr>
        <w:pStyle w:val="BodyText"/>
      </w:pPr>
      <w:r>
        <w:t xml:space="preserve">We rely on</w:t>
      </w:r>
      <w:r>
        <w:t xml:space="preserve"> </w:t>
      </w:r>
      <w:r>
        <w:t xml:space="preserve">Prasetyo and Adrison (2020)</w:t>
      </w:r>
      <w:r>
        <w:t xml:space="preserve"> </w:t>
      </w:r>
      <w:r>
        <w:t xml:space="preserve">for estimation comparison and some insight.</w:t>
      </w:r>
    </w:p>
    <w:bookmarkEnd w:id="21"/>
    <w:bookmarkStart w:id="49" w:name="data"/>
    <w:p>
      <w:pPr>
        <w:pStyle w:val="Heading2"/>
      </w:pPr>
      <w:r>
        <w:t xml:space="preserve">2 Data</w:t>
      </w:r>
    </w:p>
    <w:p>
      <w:pPr>
        <w:pStyle w:val="FirstParagraph"/>
      </w:pPr>
      <w:r>
        <w:t xml:space="preserve">This paper relies solely on data sourced by DGCE. The data contains information on both traditional and e-cigarettes, albeit on different details.</w:t>
      </w:r>
    </w:p>
    <w:p>
      <w:pPr>
        <w:pStyle w:val="BodyText"/>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w:t>
      </w:r>
    </w:p>
    <w:tbl>
      <w:tblPr>
        <w:tblStyle w:val="Table"/>
        <w:tblW w:type="pct" w:w="5000"/>
        <w:tblLook w:firstRow="0" w:lastRow="0" w:firstColumn="0" w:lastColumn="0" w:noHBand="0" w:noVBand="0" w:val="0000"/>
        <w:jc w:val="start"/>
      </w:tblPr>
      <w:tblGrid>
        <w:gridCol w:w="7920"/>
      </w:tblGrid>
      <w:tr>
        <w:tc>
          <w:tcPr/>
          <w:bookmarkStart w:id="38"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1-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excise_doc_files/figure-docx/fig-1-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1-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excise_doc_files/figure-docx/fig-1-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29"/>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3" w:name="fig-1-3"/>
                      <w:p>
                        <w:pPr>
                          <w:jc w:val="center"/>
                          <w:jc w:val="center"/>
                          <w:jc w:val="center"/>
                        </w:pPr>
                        <w:r>
                          <w:drawing>
                            <wp:inline>
                              <wp:extent cx="2971800" cy="2377440"/>
                              <wp:effectExtent b="0" l="0" r="0" t="0"/>
                              <wp:docPr descr="" title="" id="31" name="Picture"/>
                              <a:graphic>
                                <a:graphicData uri="http://schemas.openxmlformats.org/drawingml/2006/picture">
                                  <pic:pic>
                                    <pic:nvPicPr>
                                      <pic:cNvPr descr="excise_doc_files/figure-docx/fig-1-3.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3"/>
                    </w:tc>
                  </w:tr>
                </w:tbl>
                <w:p/>
              </w:tc>
              <w:tc>
                <w:tcPr/>
                <w:tbl>
                  <w:tblPr>
                    <w:tblStyle w:val="Table"/>
                    <w:tblW w:type="pct" w:w="5000"/>
                    <w:tblLook w:firstRow="0" w:lastRow="0" w:firstColumn="0" w:lastColumn="0" w:noHBand="0" w:noVBand="0" w:val="0000"/>
                    <w:jc w:val="start"/>
                  </w:tblPr>
                  <w:tblGrid>
                    <w:gridCol w:w="7920"/>
                  </w:tblGrid>
                  <w:tr>
                    <w:tc>
                      <w:tcPr/>
                      <w:bookmarkStart w:id="37" w:name="fig-1-4"/>
                      <w:p>
                        <w:pPr>
                          <w:jc w:val="center"/>
                          <w:jc w:val="center"/>
                          <w:jc w:val="center"/>
                        </w:pPr>
                        <w:r>
                          <w:drawing>
                            <wp:inline>
                              <wp:extent cx="2971800" cy="2377440"/>
                              <wp:effectExtent b="0" l="0" r="0" t="0"/>
                              <wp:docPr descr="" title="" id="35" name="Picture"/>
                              <a:graphic>
                                <a:graphicData uri="http://schemas.openxmlformats.org/drawingml/2006/picture">
                                  <pic:pic>
                                    <pic:nvPicPr>
                                      <pic:cNvPr descr="excise_doc_files/figure-docx/fig-1-4.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37"/>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38"/>
        </w:tc>
      </w:tr>
    </w:tbl>
    <w:p>
      <w:pPr>
        <w:pStyle w:val="BodyText"/>
      </w:pPr>
      <w:r>
        <w:t xml:space="preserve">The</w:t>
      </w:r>
      <w:r>
        <w:t xml:space="preserve"> </w:t>
      </w:r>
      <w:hyperlink w:anchor="fig-1">
        <w:r>
          <w:rPr>
            <w:rStyle w:val="Hyperlink"/>
          </w:rPr>
          <w:t xml:space="preserve">Figure 1</w:t>
        </w:r>
      </w:hyperlink>
      <w:r>
        <w:t xml:space="preserve"> </w:t>
      </w:r>
      <w:r>
        <w:t xml:space="preserve">shows us some shit. Satuan is fucking horrible.</w:t>
      </w:r>
    </w:p>
    <w:p>
      <w:pPr>
        <w:pStyle w:val="BodyText"/>
      </w:pPr>
      <w:r>
        <w:t xml:space="preserve">Meanwhile, e-cigarettes have a very interesting statistics, which presents problems with its use in an analysis, at least for the time being.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1">
        <w:r>
          <w:rPr>
            <w:rStyle w:val="Hyperlink"/>
          </w:rPr>
          <w:t xml:space="preserve">Table 1</w:t>
        </w:r>
      </w:hyperlink>
      <w:r>
        <w:t xml:space="preserve">).</w:t>
      </w:r>
    </w:p>
    <w:bookmarkStart w:id="39" w:name="tbl-1"/>
    <w:p>
      <w:pPr>
        <w:pStyle w:val="TableCaption"/>
      </w:pPr>
      <w:r>
        <w:t xml:space="preserve">Table 1: E-cigs data structure</w:t>
      </w:r>
    </w:p>
    <w:tbl>
      <w:tblPr>
        <w:tblStyle w:val="Table"/>
        <w:tblW w:type="auto" w:w="0"/>
        <w:tblLook w:firstRow="1" w:lastRow="0" w:firstColumn="0" w:lastColumn="0" w:noHBand="0" w:noVBand="0" w:val="0020"/>
        <w:jc w:val="start"/>
        <w:tblCaption w:val="Table 1: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39"/>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also don’t help.</w:t>
      </w:r>
    </w:p>
    <w:tbl>
      <w:tblPr>
        <w:tblStyle w:val="Table"/>
        <w:tblW w:type="pct" w:w="5000"/>
        <w:tblLook w:firstRow="0" w:lastRow="0" w:firstColumn="0" w:lastColumn="0" w:noHBand="0" w:noVBand="0" w:val="0000"/>
        <w:jc w:val="start"/>
      </w:tblPr>
      <w:tblGrid>
        <w:gridCol w:w="7920"/>
      </w:tblGrid>
      <w:tr>
        <w:tc>
          <w:tcPr/>
          <w:bookmarkStart w:id="48"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3" w:name="fig-2-1"/>
                      <w:p>
                        <w:pPr>
                          <w:jc w:val="center"/>
                          <w:jc w:val="center"/>
                          <w:jc w:val="center"/>
                        </w:pPr>
                        <w:r>
                          <w:drawing>
                            <wp:inline>
                              <wp:extent cx="2971800" cy="2377440"/>
                              <wp:effectExtent b="0" l="0" r="0" t="0"/>
                              <wp:docPr descr="" title="" id="41" name="Picture"/>
                              <a:graphic>
                                <a:graphicData uri="http://schemas.openxmlformats.org/drawingml/2006/picture">
                                  <pic:pic>
                                    <pic:nvPicPr>
                                      <pic:cNvPr descr="excise_doc_files/figure-docx/fig-2-1.png" id="42" name="Picture"/>
                                      <pic:cNvPicPr>
                                        <a:picLocks noChangeArrowheads="1" noChangeAspect="1"/>
                                      </pic:cNvPicPr>
                                    </pic:nvPicPr>
                                    <pic:blipFill>
                                      <a:blip r:embed="rId4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3"/>
                    </w:tc>
                  </w:tr>
                </w:tbl>
                <w:p/>
              </w:tc>
              <w:tc>
                <w:tcPr/>
                <w:tbl>
                  <w:tblPr>
                    <w:tblStyle w:val="Table"/>
                    <w:tblW w:type="pct" w:w="5000"/>
                    <w:tblLook w:firstRow="0" w:lastRow="0" w:firstColumn="0" w:lastColumn="0" w:noHBand="0" w:noVBand="0" w:val="0000"/>
                    <w:jc w:val="start"/>
                  </w:tblPr>
                  <w:tblGrid>
                    <w:gridCol w:w="7920"/>
                  </w:tblGrid>
                  <w:tr>
                    <w:tc>
                      <w:tcPr/>
                      <w:bookmarkStart w:id="47" w:name="fig-2-2"/>
                      <w:p>
                        <w:pPr>
                          <w:jc w:val="center"/>
                          <w:jc w:val="center"/>
                          <w:jc w:val="center"/>
                        </w:pPr>
                        <w:r>
                          <w:drawing>
                            <wp:inline>
                              <wp:extent cx="2971800" cy="2377440"/>
                              <wp:effectExtent b="0" l="0" r="0" t="0"/>
                              <wp:docPr descr="" title="" id="45" name="Picture"/>
                              <a:graphic>
                                <a:graphicData uri="http://schemas.openxmlformats.org/drawingml/2006/picture">
                                  <pic:pic>
                                    <pic:nvPicPr>
                                      <pic:cNvPr descr="excise_doc_files/figure-docx/fig-2-2.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47"/>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48"/>
        </w:tc>
      </w:tr>
    </w:tbl>
    <w:p>
      <w:pPr>
        <w:pStyle w:val="BodyText"/>
      </w:pPr>
      <w:hyperlink w:anchor="fig-2">
        <w:r>
          <w:rPr>
            <w:rStyle w:val="Hyperlink"/>
          </w:rPr>
          <w:t xml:space="preserve">Figure 2</w:t>
        </w:r>
      </w:hyperlink>
      <w:r>
        <w:t xml:space="preserve"> </w:t>
      </w:r>
      <w:r>
        <w:t xml:space="preserve">shows us another shit.</w:t>
      </w:r>
      <w:r>
        <w:t xml:space="preserve"> </w:t>
      </w:r>
      <w:hyperlink w:anchor="fig-2-2">
        <w:r>
          <w:rPr>
            <w:rStyle w:val="Hyperlink"/>
          </w:rPr>
          <w:t xml:space="preserve">Figure 2 (b)</w:t>
        </w:r>
      </w:hyperlink>
      <w:r>
        <w:t xml:space="preserve"> </w:t>
      </w:r>
      <w:r>
        <w:t xml:space="preserve">is even shitter.</w:t>
      </w:r>
    </w:p>
    <w:bookmarkEnd w:id="49"/>
    <w:bookmarkStart w:id="50" w:name="method"/>
    <w:p>
      <w:pPr>
        <w:pStyle w:val="Heading2"/>
      </w:pPr>
      <w:r>
        <w:t xml:space="preserve">3 Method</w:t>
      </w:r>
    </w:p>
    <w:p>
      <w:pPr>
        <w:pStyle w:val="FirstParagraph"/>
      </w:pPr>
      <w:r>
        <w:t xml:space="preserve">Let a standard elasticity parameters</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r>
                <m:t>t</m:t>
              </m:r>
            </m:sub>
          </m:sSub>
          <m:r>
            <m:rPr>
              <m:sty m:val="p"/>
            </m:rPr>
            <m:t>=</m:t>
          </m:r>
          <m:r>
            <m:t>a</m:t>
          </m:r>
          <m:r>
            <m:rPr>
              <m:sty m:val="p"/>
            </m:rPr>
            <m:t>−</m:t>
          </m:r>
          <m:r>
            <m:t>ε</m:t>
          </m:r>
          <m:sSub>
            <m:e>
              <m:r>
                <m:t>p</m:t>
              </m:r>
            </m:e>
            <m:sub>
              <m:r>
                <m:t>i</m:t>
              </m:r>
              <m:r>
                <m:t>t</m:t>
              </m:r>
            </m:sub>
          </m:sSub>
          <m:r>
            <m:rPr>
              <m:sty m:val="p"/>
            </m:rPr>
            <m:t>+</m:t>
          </m:r>
          <m:r>
            <m:t>γ</m:t>
          </m:r>
          <m:sSub>
            <m:e>
              <m:r>
                <m:t>y</m:t>
              </m:r>
            </m:e>
            <m:sub>
              <m:r>
                <m:t>i</m:t>
              </m:r>
              <m:r>
                <m:t>t</m:t>
              </m:r>
            </m:sub>
          </m:sSub>
          <m:r>
            <m:rPr>
              <m:sty m:val="p"/>
            </m:rPr>
            <m:t>+</m:t>
          </m:r>
          <m:sSub>
            <m:e>
              <m:r>
                <m:t>ϵ</m:t>
              </m:r>
            </m:e>
            <m:sub>
              <m:r>
                <m:t>i</m:t>
              </m:r>
              <m:r>
                <m:t>t</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bookmarkEnd w:id="50"/>
    <w:bookmarkStart w:id="72" w:name="results"/>
    <w:p>
      <w:pPr>
        <w:pStyle w:val="Heading2"/>
      </w:pPr>
      <w:r>
        <w:t xml:space="preserve">4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p>
      <w:pPr>
        <w:pStyle w:val="BodyText"/>
      </w:pPr>
      <w:r>
        <w:t xml:space="preserve">Since we lack degree of freedom amid lack of data, it does make sense to group kinds of cigarettes into two: traditional and electric. We aggregate variables using weighted average using production data of each kind of cigarettes as the weight.</w:t>
      </w:r>
    </w:p>
    <w:bookmarkStart w:id="57" w:name="elasticities-traditional-cigarettes"/>
    <w:p>
      <w:pPr>
        <w:pStyle w:val="Heading3"/>
      </w:pPr>
      <w:r>
        <w:t xml:space="preserve">4.1 Elasticities: traditional cigarettes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4620126" cy="3696101"/>
                  <wp:effectExtent b="0" l="0" r="0" t="0"/>
                  <wp:docPr descr="" title="" id="52" name="Picture"/>
                  <a:graphic>
                    <a:graphicData uri="http://schemas.openxmlformats.org/drawingml/2006/picture">
                      <pic:pic>
                        <pic:nvPicPr>
                          <pic:cNvPr descr="excise_doc_files/figure-docx/fig-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wkwkwkkw</w:t>
            </w:r>
          </w:p>
          <w:bookmarkEnd w:id="54"/>
        </w:tc>
      </w:tr>
    </w:tbl>
    <w:p>
      <w:pPr>
        <w:pStyle w:val="BodyText"/>
      </w:pPr>
      <w:r>
        <w:t xml:space="preserve">kwkwk</w:t>
      </w:r>
    </w:p>
    <w:bookmarkStart w:id="55" w:name="tbl-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55"/>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56"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431.007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56"/>
    <w:p>
      <w:pPr>
        <w:pStyle w:val="BodyText"/>
      </w:pPr>
      <w:r>
        <w:t xml:space="preserve">As we can see, this approach improves degree of freedom and provides a more robust standard error. The elasticity of the traditional cigarettes is -1.0994769 which is the decrease in sales if prices go up by 1%. Meanwhile, 1.3828417is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-0.4791002</w:t>
            </w:r>
          </w:p>
        </w:tc>
        <w:tc>
          <w:tcPr/>
          <w:p>
            <w:pPr>
              <w:pStyle w:val="Compact"/>
              <w:jc w:val="left"/>
            </w:pPr>
            <w:r>
              <w:t xml:space="preserve">-1.0994769</w:t>
            </w:r>
          </w:p>
        </w:tc>
      </w:tr>
      <w:tr>
        <w:tc>
          <w:tcPr/>
          <w:p>
            <w:pPr>
              <w:pStyle w:val="Compact"/>
              <w:jc w:val="left"/>
            </w:pPr>
            <w:r>
              <w:t xml:space="preserve">income-effect</w:t>
            </w:r>
          </w:p>
        </w:tc>
        <w:tc>
          <w:tcPr/>
          <w:p>
            <w:pPr>
              <w:pStyle w:val="Compact"/>
              <w:jc w:val="left"/>
            </w:pPr>
            <w:r>
              <w:t xml:space="preserve">0.5248967</w:t>
            </w:r>
          </w:p>
        </w:tc>
        <w:tc>
          <w:tcPr/>
          <w:p>
            <w:pPr>
              <w:pStyle w:val="Compact"/>
              <w:jc w:val="left"/>
            </w:pPr>
            <w:r>
              <w:t xml:space="preserve">1.3828417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1.38</m:t>
                  </m:r>
                </m:sup>
              </m:sSubSup>
            </m:den>
          </m:f>
          <m:r>
            <m:rPr>
              <m:sty m:val="p"/>
            </m:rPr>
            <m:t>⋅</m:t>
          </m:r>
          <m:sSup>
            <m:e>
              <m:r>
                <m:t>e</m:t>
              </m:r>
            </m:e>
            <m:sup>
              <m:r>
                <m:t>2.28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w:t>
      </w:r>
    </w:p>
    <w:p>
      <w:pPr>
        <w:pStyle w:val="BodyText"/>
      </w:pPr>
      <w:r>
        <w:t xml:space="preserve">The second equation gives us a better statistical power, albeit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57"/>
    <w:bookmarkStart w:id="64" w:name="tax-price-pass-through"/>
    <w:p>
      <w:pPr>
        <w:pStyle w:val="Heading3"/>
      </w:pPr>
      <w:r>
        <w:t xml:space="preserve">4.2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58"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58"/>
    <w:p>
      <w:pPr>
        <w:pStyle w:val="BodyText"/>
      </w:pPr>
      <w:r>
        <w:t xml:space="preserve">This estimation result tells us a very strong impact of taxation on prices. That is, for each 1% increase in excise, it passes 0.8792325 %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Likewise,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2" w:name="fig-4"/>
          <w:p>
            <w:pPr>
              <w:jc w:val="center"/>
            </w:pPr>
            <w:r>
              <w:drawing>
                <wp:inline>
                  <wp:extent cx="4620126" cy="3696101"/>
                  <wp:effectExtent b="0" l="0" r="0" t="0"/>
                  <wp:docPr descr="" title="" id="60" name="Picture"/>
                  <a:graphic>
                    <a:graphicData uri="http://schemas.openxmlformats.org/drawingml/2006/picture">
                      <pic:pic>
                        <pic:nvPicPr>
                          <pic:cNvPr descr="excise_doc_files/figure-docx/fig-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wkwkwkkw</w:t>
            </w:r>
          </w:p>
          <w:bookmarkEnd w:id="62"/>
        </w:tc>
      </w:tr>
    </w:tbl>
    <w:bookmarkStart w:id="63"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94.809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3"/>
    <w:p>
      <w:pPr>
        <w:pStyle w:val="BodyText"/>
      </w:pPr>
      <w:r>
        <w:t xml:space="preserve">This estimation result tells us a very strong impact of taxation on prices. That is, for each 1% increase in excise, it passes 0.6219979 % to the consumer via increased price. This estimation is arguable higher than</w:t>
      </w:r>
      <w:r>
        <w:t xml:space="preserve"> </w:t>
      </w:r>
      <w:r>
        <w:t xml:space="preserve">Prasetyo and Adrison (2020)</w:t>
      </w:r>
      <w:r>
        <w:t xml:space="preserve"> </w:t>
      </w:r>
      <w:r>
        <w:t xml:space="preserve">which conducted a firm-level estimation.</w:t>
      </w:r>
    </w:p>
    <w:bookmarkEnd w:id="64"/>
    <w:bookmarkStart w:id="71" w:name="revenue-from-price-and-from-tax-rate"/>
    <w:p>
      <w:pPr>
        <w:pStyle w:val="Heading3"/>
      </w:pPr>
      <w:r>
        <w:t xml:space="preserve">4.3 Revenue from price and from tax rate</w:t>
      </w:r>
    </w:p>
    <w:bookmarkStart w:id="65"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65"/>
    <w:p>
      <w:pPr>
        <w:pStyle w:val="BodyText"/>
      </w:pPr>
      <w:r>
        <w:t xml:space="preserve">Same. lol.</w:t>
      </w:r>
    </w:p>
    <w:tbl>
      <w:tblPr>
        <w:tblStyle w:val="Table"/>
        <w:tblW w:type="pct" w:w="5000"/>
        <w:tblLook w:firstRow="0" w:lastRow="0" w:firstColumn="0" w:lastColumn="0" w:noHBand="0" w:noVBand="0" w:val="0000"/>
        <w:jc w:val="start"/>
      </w:tblPr>
      <w:tblGrid>
        <w:gridCol w:w="7920"/>
      </w:tblGrid>
      <w:tr>
        <w:tc>
          <w:tcPr/>
          <w:bookmarkStart w:id="69" w:name="fig-5"/>
          <w:p>
            <w:pPr>
              <w:jc w:val="center"/>
            </w:pPr>
            <w:r>
              <w:drawing>
                <wp:inline>
                  <wp:extent cx="4620126" cy="3696101"/>
                  <wp:effectExtent b="0" l="0" r="0" t="0"/>
                  <wp:docPr descr="" title="" id="67" name="Picture"/>
                  <a:graphic>
                    <a:graphicData uri="http://schemas.openxmlformats.org/drawingml/2006/picture">
                      <pic:pic>
                        <pic:nvPicPr>
                          <pic:cNvPr descr="excise_doc_files/figure-docx/fig-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wkwkwkkw</w:t>
            </w:r>
          </w:p>
          <w:bookmarkEnd w:id="69"/>
        </w:tc>
      </w:tr>
    </w:tbl>
    <w:bookmarkStart w:id="70"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0"/>
    <w:bookmarkEnd w:id="71"/>
    <w:bookmarkEnd w:id="72"/>
    <w:bookmarkStart w:id="74" w:name="electric"/>
    <w:p>
      <w:pPr>
        <w:pStyle w:val="Heading2"/>
      </w:pPr>
      <w:r>
        <w:t xml:space="preserve">5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3"/>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74"/>
    <w:bookmarkStart w:id="75" w:name="limitation-suggestions"/>
    <w:p>
      <w:pPr>
        <w:pStyle w:val="Heading2"/>
      </w:pPr>
      <w:r>
        <w:t xml:space="preserve">6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1"/>
        </w:numPr>
      </w:pPr>
      <w:r>
        <w:t xml:space="preserve">traditional cigarettes:</w:t>
      </w:r>
    </w:p>
    <w:p>
      <w:pPr>
        <w:numPr>
          <w:ilvl w:val="1"/>
          <w:numId w:val="1002"/>
        </w:numPr>
      </w:pPr>
      <w:r>
        <w:t xml:space="preserve">quarterly HTP:HJE data is useful.</w:t>
      </w:r>
    </w:p>
    <w:p>
      <w:pPr>
        <w:numPr>
          <w:ilvl w:val="1"/>
          <w:numId w:val="1002"/>
        </w:numPr>
      </w:pPr>
      <w:r>
        <w:t xml:space="preserve">production and revenue data is annual. Common denominator principle suggests we can only use annual data.</w:t>
      </w:r>
    </w:p>
    <w:p>
      <w:pPr>
        <w:numPr>
          <w:ilvl w:val="1"/>
          <w:numId w:val="1002"/>
        </w:numPr>
      </w:pPr>
      <w:r>
        <w:t xml:space="preserve">Data is limited to 2018-2022 for a full year of observation.</w:t>
      </w:r>
    </w:p>
    <w:p>
      <w:pPr>
        <w:numPr>
          <w:ilvl w:val="0"/>
          <w:numId w:val="1001"/>
        </w:numPr>
      </w:pPr>
      <w:r>
        <w:t xml:space="preserve">electronic cigarettes:</w:t>
      </w:r>
    </w:p>
    <w:p>
      <w:pPr>
        <w:numPr>
          <w:ilvl w:val="1"/>
          <w:numId w:val="1003"/>
        </w:numPr>
      </w:pPr>
      <w:r>
        <w:t xml:space="preserve">excellent monthly production and revenue data. However, monthly data often prone to seasonality and cyclicality.</w:t>
      </w:r>
    </w:p>
    <w:p>
      <w:pPr>
        <w:numPr>
          <w:ilvl w:val="1"/>
          <w:numId w:val="1003"/>
        </w:numPr>
      </w:pPr>
      <w:r>
        <w:t xml:space="preserve">HJE and HTP are only available for June 2022 and June 2023.</w:t>
      </w:r>
    </w:p>
    <w:p>
      <w:pPr>
        <w:numPr>
          <w:ilvl w:val="1"/>
          <w:numId w:val="1003"/>
        </w:numPr>
      </w:pPr>
      <w:r>
        <w:t xml:space="preserve">Names of cigs are different between different years.</w:t>
      </w:r>
    </w:p>
    <w:p>
      <w:pPr>
        <w:numPr>
          <w:ilvl w:val="1"/>
          <w:numId w:val="1003"/>
        </w:numPr>
      </w:pPr>
      <w:r>
        <w:t xml:space="preserve">consequence is more severe: only 2022 observation can be used.</w:t>
      </w:r>
    </w:p>
    <w:p>
      <w:pPr>
        <w:pStyle w:val="FirstParagraph"/>
      </w:pPr>
      <w:r>
        <w:t xml:space="preserve">Going forward, here are our recomendations regarding data for the DGCE:</w:t>
      </w:r>
    </w:p>
    <w:p>
      <w:pPr>
        <w:numPr>
          <w:ilvl w:val="0"/>
          <w:numId w:val="1004"/>
        </w:numPr>
      </w:pPr>
      <w:r>
        <w:t xml:space="preserve">have a robust datasets which can easily be extracted into familiar form.</w:t>
      </w:r>
    </w:p>
    <w:p>
      <w:pPr>
        <w:numPr>
          <w:ilvl w:val="0"/>
          <w:numId w:val="1004"/>
        </w:numPr>
      </w:pPr>
      <w:r>
        <w:t xml:space="preserve">Keep collecting monthly data even though some HTP and HJE (or other regulations) do not change.</w:t>
      </w:r>
    </w:p>
    <w:p>
      <w:pPr>
        <w:numPr>
          <w:ilvl w:val="0"/>
          <w:numId w:val="1004"/>
        </w:numPr>
      </w:pPr>
      <w:r>
        <w:t xml:space="preserve">We propose a structure which can be extremely useful for future usage.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bookmarkEnd w:id="75"/>
    <w:bookmarkStart w:id="79" w:name="references"/>
    <w:p>
      <w:pPr>
        <w:pStyle w:val="Heading2"/>
      </w:pPr>
      <w:r>
        <w:t xml:space="preserve">References</w:t>
      </w:r>
    </w:p>
    <w:bookmarkStart w:id="78" w:name="refs"/>
    <w:bookmarkStart w:id="77"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76">
        <w:r>
          <w:rPr>
            <w:rStyle w:val="Hyperlink"/>
          </w:rPr>
          <w:t xml:space="preserve">https://doi.org/10.1136/tobaccocontrol-2018-054872</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hyperlink" Id="rId76" Target="https://doi.org/10.1136/tobaccocontrol-2018-054872"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136/tobaccocontrol-2018-0548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2023-11-03T16:43:37Z</dcterms:created>
  <dcterms:modified xsi:type="dcterms:W3CDTF">2023-11-03T16:43:37Z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ffiliation">
    <vt:lpwstr/>
  </property>
  <property fmtid="{D5CDD505-2E9C-101B-9397-08002B2CF9AE}" pid="7" name="by-author">
    <vt:lpwstr/>
  </property>
  <property fmtid="{D5CDD505-2E9C-101B-9397-08002B2CF9AE}" pid="8" name="date">
    <vt:lpwstr>November 3,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
    <vt:lpwstr>Prospera</vt:lpwstr>
  </property>
  <property fmtid="{D5CDD505-2E9C-101B-9397-08002B2CF9AE}" pid="14" name="institutes">
    <vt:lpwstr/>
  </property>
  <property fmtid="{D5CDD505-2E9C-101B-9397-08002B2CF9AE}" pid="15" name="labels">
    <vt:lpwstr/>
  </property>
  <property fmtid="{D5CDD505-2E9C-101B-9397-08002B2CF9AE}" pid="16" name="toc-title">
    <vt:lpwstr>Table of contents</vt:lpwstr>
  </property>
</Properties>
</file>