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63" w:rsidRPr="00AD1D63" w:rsidRDefault="00AD1D63" w:rsidP="00F94D32">
      <w:pPr>
        <w:shd w:val="clear" w:color="auto" w:fill="FFFFFF"/>
        <w:spacing w:before="100" w:beforeAutospacing="1" w:after="0" w:line="240" w:lineRule="auto"/>
        <w:rPr>
          <w:rFonts w:ascii="Arial" w:eastAsia="Times New Roman" w:hAnsi="Arial" w:cs="Arial"/>
          <w:b/>
          <w:bCs/>
          <w:color w:val="FFFFFF" w:themeColor="background1"/>
          <w:sz w:val="24"/>
          <w:szCs w:val="24"/>
          <w:lang w:eastAsia="fr-FR"/>
        </w:rPr>
      </w:pPr>
      <w:r w:rsidRPr="00AD1D63">
        <w:rPr>
          <w:rFonts w:ascii="Segoe UI Historic" w:hAnsi="Segoe UI Historic" w:cs="Segoe UI Historic"/>
          <w:color w:val="FFFFFF" w:themeColor="background1"/>
          <w:sz w:val="24"/>
          <w:szCs w:val="24"/>
          <w:shd w:val="clear" w:color="auto" w:fill="0084FF"/>
        </w:rPr>
        <w:t>"</w:t>
      </w:r>
      <w:proofErr w:type="spellStart"/>
      <w:r w:rsidRPr="00AD1D63">
        <w:rPr>
          <w:rFonts w:ascii="Segoe UI Historic" w:hAnsi="Segoe UI Historic" w:cs="Segoe UI Historic"/>
          <w:color w:val="FFFFFF" w:themeColor="background1"/>
          <w:sz w:val="24"/>
          <w:szCs w:val="24"/>
          <w:shd w:val="clear" w:color="auto" w:fill="0084FF"/>
        </w:rPr>
        <w:t>Urbéco</w:t>
      </w:r>
      <w:proofErr w:type="spellEnd"/>
      <w:r w:rsidRPr="00AD1D63">
        <w:rPr>
          <w:rFonts w:ascii="Segoe UI Historic" w:hAnsi="Segoe UI Historic" w:cs="Segoe UI Historic"/>
          <w:color w:val="FFFFFF" w:themeColor="background1"/>
          <w:sz w:val="24"/>
          <w:szCs w:val="24"/>
          <w:shd w:val="clear" w:color="auto" w:fill="0084FF"/>
        </w:rPr>
        <w:t>" est une combinaison des mots "urbain" et "écologie". Il représente l'idée d'une approche écologique de la vie urbaine. Ce terme évoque la fusion harmonieuse entre le développement urbain et la préservation de l'environnement</w:t>
      </w:r>
    </w:p>
    <w:p w:rsidR="00F94D32" w:rsidRPr="00F94D32" w:rsidRDefault="00F94D32" w:rsidP="00F94D32">
      <w:pPr>
        <w:numPr>
          <w:ilvl w:val="0"/>
          <w:numId w:val="1"/>
        </w:numPr>
        <w:shd w:val="clear" w:color="auto" w:fill="FFFFFF"/>
        <w:spacing w:before="100" w:beforeAutospacing="1" w:after="0" w:line="240" w:lineRule="auto"/>
        <w:ind w:left="0"/>
        <w:rPr>
          <w:rFonts w:ascii="Arial" w:eastAsia="Times New Roman" w:hAnsi="Arial" w:cs="Arial"/>
          <w:color w:val="1F1F1F"/>
          <w:sz w:val="19"/>
          <w:szCs w:val="19"/>
          <w:lang w:eastAsia="fr-FR"/>
        </w:rPr>
      </w:pPr>
      <w:r w:rsidRPr="00F94D32">
        <w:rPr>
          <w:rFonts w:ascii="Arial" w:eastAsia="Times New Roman" w:hAnsi="Arial" w:cs="Arial"/>
          <w:b/>
          <w:bCs/>
          <w:color w:val="1F1F1F"/>
          <w:sz w:val="19"/>
          <w:lang w:eastAsia="fr-FR"/>
        </w:rPr>
        <w:t>Section 1 : La Tunisie face aux défis du développement durable:</w:t>
      </w:r>
    </w:p>
    <w:p w:rsidR="00F94D32" w:rsidRPr="00F94D32" w:rsidRDefault="00F94D32" w:rsidP="00F94D32">
      <w:pPr>
        <w:shd w:val="clear" w:color="auto" w:fill="FFFFFF"/>
        <w:spacing w:before="100" w:beforeAutospacing="1" w:after="100" w:afterAutospacing="1" w:line="240" w:lineRule="auto"/>
        <w:rPr>
          <w:rFonts w:ascii="Arial" w:eastAsia="Times New Roman" w:hAnsi="Arial" w:cs="Arial"/>
          <w:color w:val="1F1F1F"/>
          <w:sz w:val="19"/>
          <w:szCs w:val="19"/>
          <w:lang w:eastAsia="fr-FR"/>
        </w:rPr>
      </w:pPr>
      <w:r w:rsidRPr="00F94D32">
        <w:rPr>
          <w:rFonts w:ascii="Arial" w:eastAsia="Times New Roman" w:hAnsi="Arial" w:cs="Arial"/>
          <w:color w:val="1F1F1F"/>
          <w:sz w:val="19"/>
          <w:szCs w:val="19"/>
          <w:lang w:eastAsia="fr-FR"/>
        </w:rPr>
        <w:t>Cette section introductive présentera les défis environnementaux, sociaux et économiques auxquels la Tunisie est confrontée, tels que l</w:t>
      </w:r>
      <w:r>
        <w:rPr>
          <w:rFonts w:ascii="Arial" w:eastAsia="Times New Roman" w:hAnsi="Arial" w:cs="Arial"/>
          <w:color w:val="1F1F1F"/>
          <w:sz w:val="19"/>
          <w:szCs w:val="19"/>
          <w:lang w:eastAsia="fr-FR"/>
        </w:rPr>
        <w:t xml:space="preserve">a </w:t>
      </w:r>
      <w:proofErr w:type="spellStart"/>
      <w:r>
        <w:rPr>
          <w:rFonts w:ascii="Arial" w:eastAsia="Times New Roman" w:hAnsi="Arial" w:cs="Arial"/>
          <w:color w:val="1F1F1F"/>
          <w:sz w:val="19"/>
          <w:szCs w:val="19"/>
          <w:lang w:eastAsia="fr-FR"/>
        </w:rPr>
        <w:t>malgestion</w:t>
      </w:r>
      <w:proofErr w:type="spellEnd"/>
      <w:r>
        <w:rPr>
          <w:rFonts w:ascii="Arial" w:eastAsia="Times New Roman" w:hAnsi="Arial" w:cs="Arial"/>
          <w:color w:val="1F1F1F"/>
          <w:sz w:val="19"/>
          <w:szCs w:val="19"/>
          <w:lang w:eastAsia="fr-FR"/>
        </w:rPr>
        <w:t xml:space="preserve"> des </w:t>
      </w:r>
      <w:proofErr w:type="spellStart"/>
      <w:r>
        <w:rPr>
          <w:rFonts w:ascii="Arial" w:eastAsia="Times New Roman" w:hAnsi="Arial" w:cs="Arial"/>
          <w:color w:val="1F1F1F"/>
          <w:sz w:val="19"/>
          <w:szCs w:val="19"/>
          <w:lang w:eastAsia="fr-FR"/>
        </w:rPr>
        <w:t>dechet</w:t>
      </w:r>
      <w:proofErr w:type="spellEnd"/>
      <w:r>
        <w:rPr>
          <w:rFonts w:ascii="Arial" w:eastAsia="Times New Roman" w:hAnsi="Arial" w:cs="Arial"/>
          <w:color w:val="1F1F1F"/>
          <w:sz w:val="19"/>
          <w:szCs w:val="19"/>
          <w:lang w:eastAsia="fr-FR"/>
        </w:rPr>
        <w:t xml:space="preserve"> les </w:t>
      </w:r>
      <w:proofErr w:type="spellStart"/>
      <w:r>
        <w:rPr>
          <w:rFonts w:ascii="Arial" w:eastAsia="Times New Roman" w:hAnsi="Arial" w:cs="Arial"/>
          <w:color w:val="1F1F1F"/>
          <w:sz w:val="19"/>
          <w:szCs w:val="19"/>
          <w:lang w:eastAsia="fr-FR"/>
        </w:rPr>
        <w:t>batiments</w:t>
      </w:r>
      <w:proofErr w:type="spellEnd"/>
      <w:r>
        <w:rPr>
          <w:rFonts w:ascii="Arial" w:eastAsia="Times New Roman" w:hAnsi="Arial" w:cs="Arial"/>
          <w:color w:val="1F1F1F"/>
          <w:sz w:val="19"/>
          <w:szCs w:val="19"/>
          <w:lang w:eastAsia="fr-FR"/>
        </w:rPr>
        <w:t xml:space="preserve"> </w:t>
      </w:r>
      <w:proofErr w:type="gramStart"/>
      <w:r>
        <w:rPr>
          <w:rFonts w:ascii="Arial" w:eastAsia="Times New Roman" w:hAnsi="Arial" w:cs="Arial"/>
          <w:color w:val="1F1F1F"/>
          <w:sz w:val="19"/>
          <w:szCs w:val="19"/>
          <w:lang w:eastAsia="fr-FR"/>
        </w:rPr>
        <w:t xml:space="preserve">indigne </w:t>
      </w:r>
      <w:r w:rsidRPr="00F94D32">
        <w:rPr>
          <w:rFonts w:ascii="Arial" w:eastAsia="Times New Roman" w:hAnsi="Arial" w:cs="Arial"/>
          <w:color w:val="1F1F1F"/>
          <w:sz w:val="19"/>
          <w:szCs w:val="19"/>
          <w:lang w:eastAsia="fr-FR"/>
        </w:rPr>
        <w:t>.</w:t>
      </w:r>
      <w:proofErr w:type="gramEnd"/>
      <w:r w:rsidRPr="00F94D32">
        <w:rPr>
          <w:rFonts w:ascii="Arial" w:eastAsia="Times New Roman" w:hAnsi="Arial" w:cs="Arial"/>
          <w:color w:val="1F1F1F"/>
          <w:sz w:val="19"/>
          <w:szCs w:val="19"/>
          <w:lang w:eastAsia="fr-FR"/>
        </w:rPr>
        <w:t xml:space="preserve"> Des illustrations concrètes, sous forme de panneaux informatifs, de vidéos et d'objets exposés, permettront de saisir l'ampleur et l'impact de ces problématiques sur la vie quotidienne des Tunisiens.</w:t>
      </w:r>
    </w:p>
    <w:p w:rsidR="007E11D6" w:rsidRPr="007E11D6" w:rsidRDefault="007E11D6" w:rsidP="007E11D6">
      <w:pPr>
        <w:numPr>
          <w:ilvl w:val="0"/>
          <w:numId w:val="2"/>
        </w:numPr>
        <w:shd w:val="clear" w:color="auto" w:fill="FFFFFF"/>
        <w:spacing w:before="100" w:beforeAutospacing="1" w:after="0" w:line="240" w:lineRule="auto"/>
        <w:ind w:left="0"/>
        <w:rPr>
          <w:rFonts w:ascii="Arial" w:eastAsia="Times New Roman" w:hAnsi="Arial" w:cs="Arial"/>
          <w:color w:val="1F1F1F"/>
          <w:sz w:val="19"/>
          <w:szCs w:val="19"/>
          <w:lang w:eastAsia="fr-FR"/>
        </w:rPr>
      </w:pPr>
      <w:r w:rsidRPr="007E11D6">
        <w:rPr>
          <w:rFonts w:ascii="Arial" w:eastAsia="Times New Roman" w:hAnsi="Arial" w:cs="Arial"/>
          <w:b/>
          <w:bCs/>
          <w:color w:val="1F1F1F"/>
          <w:sz w:val="19"/>
          <w:lang w:eastAsia="fr-FR"/>
        </w:rPr>
        <w:t>Section 2 : Villes et communautés durables en Tunisie : vers des solutions concrètes:</w:t>
      </w:r>
    </w:p>
    <w:p w:rsidR="007E11D6" w:rsidRPr="007E11D6" w:rsidRDefault="007E11D6" w:rsidP="007E11D6">
      <w:pPr>
        <w:shd w:val="clear" w:color="auto" w:fill="FFFFFF"/>
        <w:spacing w:before="100" w:beforeAutospacing="1" w:after="100" w:afterAutospacing="1" w:line="240" w:lineRule="auto"/>
        <w:rPr>
          <w:rFonts w:ascii="Arial" w:eastAsia="Times New Roman" w:hAnsi="Arial" w:cs="Arial"/>
          <w:color w:val="1F1F1F"/>
          <w:sz w:val="19"/>
          <w:szCs w:val="19"/>
          <w:lang w:eastAsia="fr-FR"/>
        </w:rPr>
      </w:pPr>
      <w:r w:rsidRPr="007E11D6">
        <w:rPr>
          <w:rFonts w:ascii="Arial" w:eastAsia="Times New Roman" w:hAnsi="Arial" w:cs="Arial"/>
          <w:color w:val="1F1F1F"/>
          <w:sz w:val="19"/>
          <w:szCs w:val="19"/>
          <w:lang w:eastAsia="fr-FR"/>
        </w:rPr>
        <w:t>Cette section mettra en lumière les initiatives et les expériences réussies de villes et communautés tunisiennes engagées dans des démarches de développement durable. Les visiteurs pourront découvrir des exemples concrets d'actions menées en matière d'efficacité énergétique, de gestion des déchets, de transport durable et d'agriculture urbaine. Des supports audiovisuels immersifs et des maquettes interactives illustreront ces réalisations inspirantes.</w:t>
      </w:r>
    </w:p>
    <w:p w:rsidR="007E11D6" w:rsidRPr="007E11D6" w:rsidRDefault="007E11D6" w:rsidP="007E11D6">
      <w:pPr>
        <w:numPr>
          <w:ilvl w:val="0"/>
          <w:numId w:val="3"/>
        </w:numPr>
        <w:shd w:val="clear" w:color="auto" w:fill="FFFFFF"/>
        <w:spacing w:before="100" w:beforeAutospacing="1" w:after="0" w:line="240" w:lineRule="auto"/>
        <w:ind w:left="0"/>
        <w:rPr>
          <w:rFonts w:ascii="Arial" w:eastAsia="Times New Roman" w:hAnsi="Arial" w:cs="Arial"/>
          <w:color w:val="1F1F1F"/>
          <w:sz w:val="19"/>
          <w:szCs w:val="19"/>
          <w:lang w:eastAsia="fr-FR"/>
        </w:rPr>
      </w:pPr>
      <w:r w:rsidRPr="007E11D6">
        <w:rPr>
          <w:rFonts w:ascii="Arial" w:eastAsia="Times New Roman" w:hAnsi="Arial" w:cs="Arial"/>
          <w:b/>
          <w:bCs/>
          <w:color w:val="1F1F1F"/>
          <w:sz w:val="19"/>
          <w:lang w:eastAsia="fr-FR"/>
        </w:rPr>
        <w:t>Section 3 : Travail décent et développement durable : une synergie essentielle:</w:t>
      </w:r>
    </w:p>
    <w:p w:rsidR="007E11D6" w:rsidRPr="007E11D6" w:rsidRDefault="007E11D6" w:rsidP="007E11D6">
      <w:pPr>
        <w:shd w:val="clear" w:color="auto" w:fill="FFFFFF"/>
        <w:spacing w:before="100" w:beforeAutospacing="1" w:after="100" w:afterAutospacing="1" w:line="240" w:lineRule="auto"/>
        <w:rPr>
          <w:rFonts w:ascii="Arial" w:eastAsia="Times New Roman" w:hAnsi="Arial" w:cs="Arial"/>
          <w:color w:val="1F1F1F"/>
          <w:sz w:val="19"/>
          <w:szCs w:val="19"/>
          <w:lang w:eastAsia="fr-FR"/>
        </w:rPr>
      </w:pPr>
      <w:r w:rsidRPr="007E11D6">
        <w:rPr>
          <w:rFonts w:ascii="Arial" w:eastAsia="Times New Roman" w:hAnsi="Arial" w:cs="Arial"/>
          <w:color w:val="1F1F1F"/>
          <w:sz w:val="19"/>
          <w:szCs w:val="19"/>
          <w:lang w:eastAsia="fr-FR"/>
        </w:rPr>
        <w:t>Cette section explorera le lien indissociable entre le travail décent et le développement durable. Elle mettra en évidence les défis liés au chômage, à la précarité de l'emploi et aux conditions de travail difficiles en Tunisie. Des exemples d'initiatives visant à promouvoir le travail décent, telles que la formation professionnelle, l'entrepreneuriat social et l'économie solidaire, seront présentés.</w:t>
      </w:r>
    </w:p>
    <w:p w:rsidR="007E11D6" w:rsidRDefault="007E11D6" w:rsidP="007E11D6">
      <w:pPr>
        <w:pStyle w:val="NormalWeb"/>
        <w:shd w:val="clear" w:color="auto" w:fill="FFFFFF"/>
        <w:rPr>
          <w:rFonts w:ascii="Arial" w:hAnsi="Arial" w:cs="Arial"/>
          <w:color w:val="1F1F1F"/>
          <w:sz w:val="19"/>
          <w:szCs w:val="19"/>
        </w:rPr>
      </w:pPr>
      <w:r>
        <w:rPr>
          <w:rStyle w:val="lev"/>
          <w:rFonts w:ascii="Arial" w:hAnsi="Arial" w:cs="Arial"/>
          <w:color w:val="1F1F1F"/>
          <w:sz w:val="19"/>
          <w:szCs w:val="19"/>
        </w:rPr>
        <w:t>Espace d'expérimentation et d'apprentissage pratique:</w:t>
      </w:r>
    </w:p>
    <w:p w:rsidR="007E11D6" w:rsidRDefault="007E11D6" w:rsidP="007E11D6">
      <w:pPr>
        <w:pStyle w:val="NormalWeb"/>
        <w:shd w:val="clear" w:color="auto" w:fill="FFFFFF"/>
        <w:rPr>
          <w:rFonts w:ascii="Arial" w:hAnsi="Arial" w:cs="Arial"/>
          <w:color w:val="1F1F1F"/>
          <w:sz w:val="19"/>
          <w:szCs w:val="19"/>
        </w:rPr>
      </w:pPr>
      <w:r>
        <w:rPr>
          <w:rFonts w:ascii="Arial" w:hAnsi="Arial" w:cs="Arial"/>
          <w:color w:val="1F1F1F"/>
          <w:sz w:val="19"/>
          <w:szCs w:val="19"/>
        </w:rPr>
        <w:t>Un espace dédié à l'expérimentation permettra aux visiteurs de mettre en pratique les concepts appris dans l'exposition permanente. Des ateliers participatifs</w:t>
      </w:r>
    </w:p>
    <w:p w:rsidR="009300AA" w:rsidRDefault="009300AA"/>
    <w:sectPr w:rsidR="009300AA" w:rsidSect="009300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31A31"/>
    <w:multiLevelType w:val="multilevel"/>
    <w:tmpl w:val="22B4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9A633B"/>
    <w:multiLevelType w:val="multilevel"/>
    <w:tmpl w:val="405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B569EF"/>
    <w:multiLevelType w:val="multilevel"/>
    <w:tmpl w:val="A67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4D32"/>
    <w:rsid w:val="007E11D6"/>
    <w:rsid w:val="009300AA"/>
    <w:rsid w:val="00AD1D63"/>
    <w:rsid w:val="00F94D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A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94D32"/>
    <w:rPr>
      <w:b/>
      <w:bCs/>
    </w:rPr>
  </w:style>
  <w:style w:type="paragraph" w:styleId="NormalWeb">
    <w:name w:val="Normal (Web)"/>
    <w:basedOn w:val="Normal"/>
    <w:uiPriority w:val="99"/>
    <w:semiHidden/>
    <w:unhideWhenUsed/>
    <w:rsid w:val="00F94D3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578826143">
      <w:bodyDiv w:val="1"/>
      <w:marLeft w:val="0"/>
      <w:marRight w:val="0"/>
      <w:marTop w:val="0"/>
      <w:marBottom w:val="0"/>
      <w:divBdr>
        <w:top w:val="none" w:sz="0" w:space="0" w:color="auto"/>
        <w:left w:val="none" w:sz="0" w:space="0" w:color="auto"/>
        <w:bottom w:val="none" w:sz="0" w:space="0" w:color="auto"/>
        <w:right w:val="none" w:sz="0" w:space="0" w:color="auto"/>
      </w:divBdr>
    </w:div>
    <w:div w:id="1039940903">
      <w:bodyDiv w:val="1"/>
      <w:marLeft w:val="0"/>
      <w:marRight w:val="0"/>
      <w:marTop w:val="0"/>
      <w:marBottom w:val="0"/>
      <w:divBdr>
        <w:top w:val="none" w:sz="0" w:space="0" w:color="auto"/>
        <w:left w:val="none" w:sz="0" w:space="0" w:color="auto"/>
        <w:bottom w:val="none" w:sz="0" w:space="0" w:color="auto"/>
        <w:right w:val="none" w:sz="0" w:space="0" w:color="auto"/>
      </w:divBdr>
    </w:div>
    <w:div w:id="169013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1</Pages>
  <Words>295</Words>
  <Characters>1626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2024-04-20T14:33:00Z</dcterms:created>
  <dcterms:modified xsi:type="dcterms:W3CDTF">2024-04-21T09:29:00Z</dcterms:modified>
</cp:coreProperties>
</file>