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8"/>
          <w:szCs w:val="48"/>
          <w:rtl w:val="0"/>
        </w:rPr>
        <w:t xml:space="preserve">Analyse Comportementale Clientèle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6ca8"/>
          <w:sz w:val="32"/>
          <w:szCs w:val="32"/>
          <w:rtl w:val="0"/>
        </w:rPr>
        <w:t xml:space="preserve">Rapport de Projet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Module GI2 — Atelier Pratique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Imen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abdelmoula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Machine Learning — GI2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Année universitaire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Encadrante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Fadoua Drira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github.com/imen767/Machine-Learning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1. Introduction et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1.1 Contexte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projet s'inscrit dans le cadre du module Machine Learning de la filière GI2. Il consiste à analyser le comportement des clients d'une entreprise e-commerce de cadeaux afin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Personnaliser les stratégies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Réduire le taux de départ des clients (churn)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Optimiser le chiffre d'affaires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1.2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dataset utilisé contient 4372 clients avec 52 features initiales issues de transactions réelles. Il est intentionnellement imparfait pour permettre la maîtrise de la chaîne complète de traitement en Data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Caractéristique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4 372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Features initiales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Features après prétraitement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Taux de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33% (partis) / 67% (fidèles)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Valeurs manquantes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 (30%), SupportTickets (3%), Satisfaction (8%)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1.3 Objectifs pédagogiques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500"/>
        <w:gridCol w:w="2000"/>
        <w:tblGridChange w:id="0">
          <w:tblGrid>
            <w:gridCol w:w="2500"/>
            <w:gridCol w:w="45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Compétence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Analyser la qualité et la structure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6044940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Préparation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Nettoyer, encoder et normaliser les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51271811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Réduire la dimension via ACP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194669891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Modélisation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Clustering, Classification, Régression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14124954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Interpréter les résultats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117711542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Interface web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7399012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Réalisé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2. Exploration et Préparation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2.1 Exploration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L'exploration des données a révélé plusieurs problèmes de qualité à résoudre avant la modélisation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2900"/>
        <w:tblGridChange w:id="0">
          <w:tblGrid>
            <w:gridCol w:w="2500"/>
            <w:gridCol w:w="350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 de problème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Features concernées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Traitement appliqué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Valeurs manquantes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 (30%), AvgDaysBetweenPurchases (1.8%)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Imputation par médiane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Valeurs aberrantes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SupportTicketsCount (-1, 999), SatisfactionScore (-1, 0, 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Remplacement par NaN puis médiane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Format inconsistant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Parsing avec pd.to_datetime()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 inutile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Newsletter (100% constant)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Données brutes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LastLoginIP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Extraction IP_FirstOctet, IP_IsPrivate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Déséquilibre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Churn (67%/33%)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class_weight='balanced'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2.2 Encoding des variables catégorielles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Trois stratégies d'encoding ont été appliquées selon le type de variable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Ordinal Encoding (LabelEncoder) : variables avec ordre logique (RFMSegment, LoyaltyLevel, SpendingCategory...)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One-Hot Encoding (get_dummies) : variables nominales sans ordre (CustomerType, FavoriteSeason, Region, Gender, AccountStatus)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Encoding : variable Country (37+ valeurs uniques) — remplacée par le taux de churn moyen par pays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2.3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Trois nouvelles features ont été créées à partir des features existantes, conformément aux instructions de l'énoncé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400"/>
        <w:tblGridChange w:id="0">
          <w:tblGrid>
            <w:gridCol w:w="2500"/>
            <w:gridCol w:w="3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 créée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Utilité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MonetaryPerDay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MonetaryTotal / (Recency + 1)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Distinguer clients actifs vs dormants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AvgBasketValue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MonetaryTotal / (Frequency + 1)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Profil d'achat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TenureRatio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Recency / (CustomerTenureDays + 1)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Détecter clients fidèles qui s'éloignent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IP_FirstOctet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Premier bloc de l'adresse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Type de réseau de connexion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IP_IsPrivate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IP privée (1) ou publique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Connexion domestique vs publique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2.4 Suppression des features redondantes (Heatmap de corrélation)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Une heatmap de corrélation a été réalisée sur l'ensemble des features. 20 paires avec |corrélation| &gt; 0.8 ont été identifiées. 9 features redondantes ont été supprimées.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ca8" w:space="0" w:sz="4" w:val="dashed"/>
              <w:left w:color="1b6ca8" w:space="0" w:sz="4" w:val="dashed"/>
              <w:bottom w:color="1b6ca8" w:space="0" w:sz="4" w:val="dashed"/>
              <w:right w:color="1b6ca8" w:space="0" w:sz="4" w:val="dashed"/>
            </w:tcBorders>
            <w:shd w:fill="ebf3f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6ca8"/>
              </w:rPr>
              <w:drawing>
                <wp:inline distB="114300" distT="114300" distL="114300" distR="114300">
                  <wp:extent cx="5467350" cy="43688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36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 supprimée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Corrélée avec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UniqueInvoices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UniqueDescriptions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UniqueProducts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CancelledTransactions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NegativeQuantityCount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WeekendPreference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WeekendPurchaseRatio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MonetaryPerDay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UniqueProducts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sdt>
        <w:sdtPr>
          <w:id w:val="47269406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Résultat final : 52 features initiales → 67 features après preprocessing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2.5 Normalisation et Split Train/Test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StandardScaler a été appliqué uniquement sur les features numériques (X), jamais sur la target (y). Le dataset a été splitté en 80% train / 20% test avec stratification.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2000"/>
        <w:tblGridChange w:id="0">
          <w:tblGrid>
            <w:gridCol w:w="2000"/>
            <w:gridCol w:w="2500"/>
            <w:gridCol w:w="25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Churn 0 (Fidèles)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Churn 1 (Partis)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3 497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875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3. Modélisation —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3.1 Approche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L'objectif du clustering est de segmenter automatiquement les clients en groupes homogènes. L'algorithme K-Means a été utilisé avec une réduction de dimension par ACP.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09613187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Méthode du coude (Elbow Method) → k=4 optimal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87613967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Suppression des outliers extrêmes (Z-score &gt; 4) : 4372 → 3601 clients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91629239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ACP avec 27 composantes → 96.2% de variance expliquée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K-Means avec k=4 sur les données réduites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3.2 Visualisation des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3.3 Résultats — 4 segments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1500"/>
        <w:gridCol w:w="1500"/>
        <w:gridCol w:w="1200"/>
        <w:gridCol w:w="1500"/>
        <w:gridCol w:w="1300"/>
        <w:tblGridChange w:id="0">
          <w:tblGrid>
            <w:gridCol w:w="1000"/>
            <w:gridCol w:w="2000"/>
            <w:gridCol w:w="1500"/>
            <w:gridCol w:w="1500"/>
            <w:gridCol w:w="1200"/>
            <w:gridCol w:w="150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Nb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Recency (j)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MonetaryTotal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Taux 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Perdus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907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227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493£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Champions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1167 (32%)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2736£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à 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426 (12%)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93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772£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Réguliers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1101 (31%)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43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698£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3.4 Recommandations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 recommandée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Perdus (99.8% 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Campagne de réactivation urgente ou abandon du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Champions (4% 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Programme VIP, récompenses fidélité, offres exclusives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à Risque (35.7% 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Promotions personnalisées, offres spéciales urgentes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Réguliers (6.5% 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Newsletter, encourager augmentation de la fréquence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4. Modélisation — Classification (Prédiction Churn)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4.1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Prédire si un client va partir (Churn=1) ou rester (Churn=0) à partir de ses caractéristiques comportementales.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4.2 Data Leakage — Problème détecté et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Lors des premiers tests, les modèles atteignaient 100% de précision — signe d'un Data Leakage (fuite de données). Les colonnes suivantes ont été identifiées et supprimées car elles révélaient directement la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ChurnRiskCategory : indique directement le risque de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AccountStatus_Closed : compte fermé = client parti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CustomerType_Perdu : signifie littéralement client perdu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Recency : trop directement corrélé au churn (corrélation = 0.859)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TenureRatio, CustomerTenureDays, FirstPurchaseDaysAgo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sdt>
        <w:sdtPr>
          <w:id w:val="184158513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Après suppression : 67 features → 59 features propres. Les résultats sont devenus réalistes.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4.3 Modèles entraînés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200"/>
        <w:gridCol w:w="1600"/>
        <w:gridCol w:w="1500"/>
        <w:gridCol w:w="1200"/>
        <w:tblGridChange w:id="0">
          <w:tblGrid>
            <w:gridCol w:w="2800"/>
            <w:gridCol w:w="1200"/>
            <w:gridCol w:w="1200"/>
            <w:gridCol w:w="1600"/>
            <w:gridCol w:w="15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Precision (churn)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Recall (churn)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Régression Logistique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97.0%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 (Flask, 7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4.4 Optimisation avec GridSearchCV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GridSearchCV a testé 12 combinaisons de paramètres avec validation croisée (cv=5)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Valeurs testées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Meilleure 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[100, 200]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[10, 20, None]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[2, 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Meilleur score AUC-ROC obtenu : 99.9%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4.5 Matrice de confusion —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00"/>
        <w:tblGridChange w:id="0">
          <w:tblGrid>
            <w:gridCol w:w="2500"/>
            <w:gridCol w:w="30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Prédit Fidèle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Prédit Parti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Réel Fidèle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569 (Vrais Négatifs)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(Faux Positifs)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Réel Parti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 (Faux Négatifs)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275 (Vrais Positifs)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modèle rate seulement 16 clients qui vont partir sur 291 — et génère 15 fausses alarmes.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4.6 Features les plus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1500"/>
        <w:gridCol w:w="3900"/>
        <w:tblGridChange w:id="0">
          <w:tblGrid>
            <w:gridCol w:w="800"/>
            <w:gridCol w:w="2800"/>
            <w:gridCol w:w="15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Interprétation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PreferredMonth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 mois préféré d'achat prédit fortement le 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RFMSegment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Les Dormants ont un fort risque de 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LoyaltyLevel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Plus la fidélité est élevée, moins le churn est 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Les clients qui commandent peu sont à risque de 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AvgDaysBetweenPurchases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Plus le délai entre achats est long, plus le risque de churn augmente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Les petits dépensiers churned plus souvent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SatisfactionScore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~1%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client insatisfait a plus de risque de churn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5. Modélisation — Régression (Prédiction des Revenus)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5.1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Prédire le montant total dépensé (MonetaryTotal) par un client afin d'optimiser les stratégies marketing et identifier les clients à fort potentiel.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5.2 Préparation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données brutes ont été utilisées pour la target (MonetaryTotal non normalisé). Les outliers extrêmes ont été filtrés (0£ &lt; MonetaryTotal &lt; 20 000£)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Clients après filtrage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Montant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1 368£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Montant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Montant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19 786£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Écart-type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2 070£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5.3 Features utilisées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 features numériques explicatives ont été sélectionnées, sans Data Leakage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Frequency, TotalQuantity, UniqueProducts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Age, AvgDaysBetweenPurchases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SupportTicketsCount, SatisfactionScore, AvgQuantityPerTransaction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c0000"/>
          <w:sz w:val="22"/>
          <w:szCs w:val="22"/>
          <w:rtl w:val="0"/>
        </w:rPr>
        <w:t xml:space="preserve">Note : MonetaryAvg et MonetaryStd ont été exclues car calculées directement depuis MonetaryTotal — ce serait du Data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5.4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000"/>
        <w:tblGridChange w:id="0">
          <w:tblGrid>
            <w:gridCol w:w="30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Régression Linéaire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350.5£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740.0£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234.1£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603.7£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5.5 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R² = 0.917 : le modèle explique 91.7% de la variance des dépenses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 = 234£ : erreur moyenne de seulement 17% par rapport au montant moyen (1368£)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Erreur moyenne sur le test set : 31£ (quasi nulle — pas de biais systématique)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9830046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Distribution des erreurs symétrique et centrée autour de 0 → modèle non biaisé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6. Déploiement — Application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6.1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L'application Flask permet de prédire le churn d'un nouveau client via une interface web simple. Elle utilise le modèle Random Forest réentraîné sur 7 features clés (96.1% de précision).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Fichier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app/app.py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Serveur Flask — charge le modèle, reçoit les données du formulaire, retourne la prédiction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app/templates/index.html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Interface web — formulaire de saisie et affichage du résultat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6.2 Interface de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00"/>
        <w:tblGridChange w:id="0">
          <w:tblGrid>
            <w:gridCol w:w="2500"/>
            <w:gridCol w:w="25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 commandes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1 - 50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MonetaryAvg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Montant moyen par commande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0 - 500£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AvgDaysBetweenPurchases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Jours moyens entre achats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SatisfactionScore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Score de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RFMSegment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 valeur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0=Champions, 1=Fidèles, 2=Potentiels, 3=Dormants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LoyaltyLevel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Niveau de fidélité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0=Nouveau, 1=Jeune, 2=Établi, 3=Ancien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PreferredMonth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Mois préféré d'achat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1=Janvier... 12=Décembre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6.3 Tests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2500"/>
        <w:gridCol w:w="1500"/>
        <w:tblGridChange w:id="0">
          <w:tblGrid>
            <w:gridCol w:w="2000"/>
            <w:gridCol w:w="3000"/>
            <w:gridCol w:w="2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Profil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Paramètres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Résultat obtenu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Correct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à 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cmd, 50£, 300j, sat=1, Dormant, Nouveau, Déc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CHURN 59.8% — Risque modéré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-25669570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fidèle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 cmd, 500£, 10j, sat=5, Champion, Ancien, Juin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FIDÈLE 34.8% — Risque 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112167981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62575" cy="71151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153025" cy="7962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7. Scripts Python de Production (src/)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Conformément à la structure demandée, les notebooks ont été convertis en scripts Python réutilisables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Fonctions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load_data(), plot_correlation_heatmap(), get_high_correlation_pairs(), parse_ip(), print_cluster_profiles()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preprocessing.py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remove_useless_columns(), fix_aberrant_values(), impute_missing_values(), parse_registration_date(), feature_engineering(), encode_categorical(), normalize_features(), split_and_save()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train_model.py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train_classifier(), optimize_classifier(), evaluate_classifier(), train_regressor(), evaluate_regressor(), plot_feature_importance(), save_model()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predict.py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load_artifacts(), predict_churn(), predict_revenue(), predict_batch()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8. Bilan et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8.1 Récapitulatif des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000"/>
        <w:gridCol w:w="2000"/>
        <w:tblGridChange w:id="0">
          <w:tblGrid>
            <w:gridCol w:w="2500"/>
            <w:gridCol w:w="25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K-Means + ACP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Segmentation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Équilibre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6110792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4 groupes équilibrés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Prédiction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61357634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99.4%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 Régression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Prédiction revenus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-104893813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0.917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Flask (7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Déploiement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-100759364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96.1%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8.2 Leçons apprises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Leakage : plusieurs colonnes révélaient directement la réponse — leçon cruciale pour tout projet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Ordre du pipeline : Feature Engineering et suppression des redondances doivent être faits AVANT le split train/test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normalization : la variable cible ne doit jamais être normalisée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Outliers et clustering : les outliers extrêmes créent des mini-clusters inutilisables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 avant clustering : indispensable pour réduire la dimensionnalité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6"/>
          <w:szCs w:val="26"/>
          <w:rtl w:val="0"/>
        </w:rPr>
        <w:t xml:space="preserve">8.3 Améliorations possibles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Optuna au lieu de GridSearchCV pour une recherche d'hyperparamètres plus intelligente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Implémenter SMOTE pour mieux gérer le déséquilibre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Enrichir le formulaire Flask avec plus de features pour des prédictions plus précises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une API REST complète pour intégrer le modèle dans d'autres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— Fin du rapport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c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WME5D9jYnrazZz8oCkShtg4m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gAciExbUd2TE5iaDJCd0cyb1ZaN1NPelFZR0pOd3VnZDd6c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2026-03-25T22:37:29.179Z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