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4"/>
        </w:rPr>
        <w:t>Pilotage du projet — Workshop client Oxand</w:t>
      </w:r>
    </w:p>
    <w:p/>
    <w:p>
      <w:pPr>
        <w:pStyle w:val="Heading1"/>
      </w:pPr>
      <w:r>
        <w:t>Document de pilotage de projet</w:t>
      </w:r>
    </w:p>
    <w:p>
      <w:pPr>
        <w:ind w:left="340"/>
      </w:pPr>
      <w:r>
        <w:rPr>
          <w:b/>
          <w:i/>
        </w:rPr>
        <w:t>Projet</w:t>
      </w:r>
      <w:r>
        <w:rPr>
          <w:i/>
        </w:rPr>
        <w:t xml:space="preserve"> — Potentiel photovoltaïque tertiaire en France (9–500 kWc), à granularité départementale, en vue d'un futur module « production locale » dans l'outil Simeo (Oxand). Projet exploratoire d'une semaine, mené en autonomie par une étudiante en M2 Big Data &amp; IA dans le cadre du workshop client.  Ce document couvre l'ensemble des critères de la grille d'évaluation « Pilotage du projet ». Chaque section indique explicitement le(s) critère(s) qu'elle adresse.</w:t>
      </w:r>
    </w:p>
    <w:p/>
    <w:p>
      <w:pPr>
        <w:pStyle w:val="Heading2"/>
      </w:pPr>
      <w:r>
        <w:t>1. Contexte &amp; parties prenantes</w:t>
      </w:r>
    </w:p>
    <w:p>
      <w:r>
        <w:rPr>
          <w:i/>
        </w:rPr>
        <w:t>Critères couverts : (1) respect des contraintes client, (3) réponse aux besoins client.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Rôle</w:t>
            </w:r>
          </w:p>
        </w:tc>
        <w:tc>
          <w:tcPr>
            <w:tcW w:type="dxa" w:w="2880"/>
            <w:shd w:val="clear" w:color="auto" w:fill="D9E2F3"/>
          </w:tcPr>
          <w:p>
            <w:r>
              <w:rPr>
                <w:b/>
                <w:sz w:val="19"/>
              </w:rPr>
            </w:r>
            <w:r>
              <w:rPr>
                <w:b/>
                <w:sz w:val="19"/>
              </w:rPr>
              <w:t>Acteur</w:t>
            </w:r>
          </w:p>
        </w:tc>
        <w:tc>
          <w:tcPr>
            <w:tcW w:type="dxa" w:w="2880"/>
            <w:shd w:val="clear" w:color="auto" w:fill="D9E2F3"/>
          </w:tcPr>
          <w:p>
            <w:r>
              <w:rPr>
                <w:b/>
                <w:sz w:val="19"/>
              </w:rPr>
            </w:r>
            <w:r>
              <w:rPr>
                <w:b/>
                <w:sz w:val="19"/>
              </w:rPr>
              <w:t>Responsabilités</w:t>
            </w:r>
          </w:p>
        </w:tc>
      </w:tr>
      <w:tr>
        <w:tc>
          <w:tcPr>
            <w:tcW w:type="dxa" w:w="2880"/>
          </w:tcPr>
          <w:p>
            <w:r>
              <w:rPr>
                <w:sz w:val="19"/>
              </w:rPr>
            </w:r>
            <w:r>
              <w:rPr>
                <w:b/>
                <w:sz w:val="19"/>
              </w:rPr>
              <w:t>Client</w:t>
            </w:r>
          </w:p>
        </w:tc>
        <w:tc>
          <w:tcPr>
            <w:tcW w:type="dxa" w:w="2880"/>
          </w:tcPr>
          <w:p>
            <w:r>
              <w:rPr>
                <w:sz w:val="19"/>
              </w:rPr>
            </w:r>
            <w:r>
              <w:rPr>
                <w:b/>
                <w:sz w:val="19"/>
              </w:rPr>
              <w:t>Oxand</w:t>
            </w:r>
            <w:r>
              <w:rPr>
                <w:sz w:val="19"/>
              </w:rPr>
              <w:t xml:space="preserve"> — outil </w:t>
            </w:r>
            <w:r>
              <w:rPr>
                <w:b/>
                <w:sz w:val="19"/>
              </w:rPr>
              <w:t>Simeo</w:t>
            </w:r>
            <w:r>
              <w:rPr>
                <w:sz w:val="19"/>
              </w:rPr>
              <w:t xml:space="preserve"> (module rénovation énergétique)</w:t>
            </w:r>
          </w:p>
        </w:tc>
        <w:tc>
          <w:tcPr>
            <w:tcW w:type="dxa" w:w="2880"/>
          </w:tcPr>
          <w:p>
            <w:r>
              <w:rPr>
                <w:sz w:val="19"/>
              </w:rPr>
            </w:r>
            <w:r>
              <w:rPr>
                <w:sz w:val="19"/>
              </w:rPr>
              <w:t xml:space="preserve">Exprime le besoin métier : élargir Simeo, aujourd'hui centré sur l'efficacité énergétique passive (isolation, ventilation, équipements), à un levier de </w:t>
            </w:r>
            <w:r>
              <w:rPr>
                <w:b/>
                <w:sz w:val="19"/>
              </w:rPr>
              <w:t>production locale d'énergie</w:t>
            </w:r>
            <w:r>
              <w:rPr>
                <w:sz w:val="19"/>
              </w:rPr>
              <w:t>. Fixe le cadre réglementaire et économique via la note de cadrage. Valide les livrables lors des points hebdomadaires.</w:t>
            </w:r>
          </w:p>
        </w:tc>
      </w:tr>
      <w:tr>
        <w:tc>
          <w:tcPr>
            <w:tcW w:type="dxa" w:w="2880"/>
          </w:tcPr>
          <w:p>
            <w:r>
              <w:rPr>
                <w:sz w:val="19"/>
              </w:rPr>
            </w:r>
            <w:r>
              <w:rPr>
                <w:b/>
                <w:sz w:val="19"/>
              </w:rPr>
              <w:t>Réalisatrice</w:t>
            </w:r>
          </w:p>
        </w:tc>
        <w:tc>
          <w:tcPr>
            <w:tcW w:type="dxa" w:w="2880"/>
          </w:tcPr>
          <w:p>
            <w:r>
              <w:rPr>
                <w:sz w:val="19"/>
              </w:rPr>
            </w:r>
            <w:r>
              <w:rPr>
                <w:sz w:val="19"/>
              </w:rPr>
              <w:t>Étudiante en M2 Big Data &amp; IA</w:t>
            </w:r>
          </w:p>
        </w:tc>
        <w:tc>
          <w:tcPr>
            <w:tcW w:type="dxa" w:w="2880"/>
          </w:tcPr>
          <w:p>
            <w:r>
              <w:rPr>
                <w:sz w:val="19"/>
              </w:rPr>
            </w:r>
            <w:r>
              <w:rPr>
                <w:sz w:val="19"/>
              </w:rPr>
              <w:t>Cadre le projet, collecte et traite les données, construit le modèle économique, développe le dashboard, documente et présente les résultats. Interlocutrice unique côté production.</w:t>
            </w:r>
          </w:p>
        </w:tc>
      </w:tr>
      <w:tr>
        <w:tc>
          <w:tcPr>
            <w:tcW w:type="dxa" w:w="2880"/>
          </w:tcPr>
          <w:p>
            <w:r>
              <w:rPr>
                <w:sz w:val="19"/>
              </w:rPr>
            </w:r>
            <w:r>
              <w:rPr>
                <w:b/>
                <w:sz w:val="19"/>
              </w:rPr>
              <w:t>Référent pédagogique</w:t>
            </w:r>
          </w:p>
        </w:tc>
        <w:tc>
          <w:tcPr>
            <w:tcW w:type="dxa" w:w="2880"/>
          </w:tcPr>
          <w:p>
            <w:r>
              <w:rPr>
                <w:sz w:val="19"/>
              </w:rPr>
            </w:r>
            <w:r>
              <w:rPr>
                <w:sz w:val="19"/>
              </w:rPr>
              <w:t>École (workshop client)</w:t>
            </w:r>
          </w:p>
        </w:tc>
        <w:tc>
          <w:tcPr>
            <w:tcW w:type="dxa" w:w="2880"/>
          </w:tcPr>
          <w:p>
            <w:r>
              <w:rPr>
                <w:sz w:val="19"/>
              </w:rPr>
            </w:r>
            <w:r>
              <w:rPr>
                <w:sz w:val="19"/>
              </w:rPr>
              <w:t>Encadre la méthode, évalue selon les grilles fournies (note de cadrage, réalisation Big Data, pilotage, dossier technique), garantit le respect du calendrier académique.</w:t>
            </w:r>
          </w:p>
        </w:tc>
      </w:tr>
    </w:tbl>
    <w:p/>
    <w:p>
      <w:r>
        <w:rPr>
          <w:b/>
        </w:rPr>
        <w:t>Contraintes client identifiées et respectées</w:t>
      </w:r>
      <w:r>
        <w:t xml:space="preserve"> (issues de la note de cadrage </w:t>
      </w:r>
      <w:r>
        <w:rPr>
          <w:rFonts w:ascii="Consolas" w:hAnsi="Consolas"/>
          <w:sz w:val="19"/>
        </w:rPr>
        <w:t>potentiel-pv-france-note-cadrage.md</w:t>
      </w:r>
      <w:r>
        <w:t>) :</w:t>
      </w:r>
    </w:p>
    <w:p>
      <w:pPr>
        <w:pStyle w:val="ListBullet"/>
      </w:pPr>
      <w:r>
        <w:rPr>
          <w:b/>
        </w:rPr>
        <w:t>Réglementation</w:t>
      </w:r>
      <w:r>
        <w:t xml:space="preserve"> — le projet s'ancre explicitement sur le décret tertiaire, la loi APER, RE2020 et REPowerEU (cf. section 2). Le segment retenu (toiture tertiaire 9–500 kWc) correspond au champ d'application réel de ces textes et au patrimoine bâti couvert par Simeo.</w:t>
      </w:r>
    </w:p>
    <w:p>
      <w:pPr>
        <w:pStyle w:val="ListBullet"/>
      </w:pPr>
      <w:r>
        <w:rPr>
          <w:b/>
        </w:rPr>
        <w:t>Coûts</w:t>
      </w:r>
      <w:r>
        <w:t xml:space="preserve"> — aucun budget de licence ou d'infrastructure engagé : sources de données ouvertes (PVGIS/JRC, GeoJSON officiel des départements), stack Python open-source, hébergement du dashboard sur Streamlit Community Cloud (gratuit). Seul coût réel : le temps-homme (cf. section 5).</w:t>
      </w:r>
    </w:p>
    <w:p>
      <w:pPr>
        <w:pStyle w:val="ListBullet"/>
      </w:pPr>
      <w:r>
        <w:rPr>
          <w:b/>
        </w:rPr>
        <w:t>Délais</w:t>
      </w:r>
      <w:r>
        <w:t xml:space="preserve"> — projet calibré et livré sur une semaine calendaire, conformément au format du workshop ; le planning (section 2) découpe ce délai en lots vérifiables.</w:t>
      </w:r>
    </w:p>
    <w:p>
      <w:r>
        <w:rPr>
          <w:b/>
        </w:rPr>
        <w:t>Solution apportée vs besoin client</w:t>
      </w:r>
      <w:r>
        <w:t xml:space="preserve"> — la note de cadrage posait trois questions pour Simeo : </w:t>
      </w:r>
      <w:r>
        <w:rPr>
          <w:i/>
        </w:rPr>
        <w:t>combien produit une installation type, combien coûte-t-elle, est-elle rentable ?</w:t>
      </w:r>
      <w:r>
        <w:t xml:space="preserve"> Le livrable y répond concrètement par département : gisement PVGIS réel, modèle économique testé (LCOE, payback, TRI, VAN), et un dashboard interactif permettant à Oxand d'explorer les résultats par département (choix du régime de valorisation et de la puissance). Le projet ne construit pas le futur module Simeo mais </w:t>
      </w:r>
      <w:r>
        <w:rPr>
          <w:b/>
        </w:rPr>
        <w:t>caractérise le terrain de jeu</w:t>
      </w:r>
      <w:r>
        <w:t xml:space="preserve"> — exactement le périmètre demandé, ni plus ni moins.</w:t>
      </w:r>
    </w:p>
    <w:p/>
    <w:p>
      <w:pPr>
        <w:pStyle w:val="Heading2"/>
      </w:pPr>
      <w:r>
        <w:t>2. Planning &amp; jalons</w:t>
      </w:r>
    </w:p>
    <w:p>
      <w:r>
        <w:rPr>
          <w:i/>
        </w:rPr>
        <w:t>Critères couverts : (2) ajustement aux tendances/obligations réglementaires, (6) planning optimisé et cohérent.</w:t>
      </w:r>
    </w:p>
    <w:p>
      <w:r>
        <w:t>Le planning prévisionnel d'une semaine est construit pour livrer un noyau fonctionnel (données + modèle économique) dès le milieu de semaine, condition nécessaire pour que le dashboard et la documentation finale ne dépendent pas d'un dérapage amont. L'ordre des lots reflète aussi la hiérarchie des dépendances techniques : on ne peut pas construire le dashboard avant d'avoir un modèle économique paramétrable, ni le dossier technique avant d'avoir le dashboard et le pilotage.</w:t>
      </w:r>
    </w:p>
    <w:p>
      <w:r>
        <w:t xml:space="preserve">L'ajustement aux obligations réglementaires du client est fait </w:t>
      </w:r>
      <w:r>
        <w:rPr>
          <w:b/>
        </w:rPr>
        <w:t>en amont</w:t>
      </w:r>
      <w:r>
        <w:t>, dès le cadrage : le choix du segment (toiture tertiaire 9–500 kWc), de la granularité (département) et des indicateurs (LCOE, payback, TRI, VAN) découle directement de la loi APER (solarisation obligatoire des grandes toitures tertiaires), du décret tertiaire (objectifs de réduction de consommation auxquels l'autoconsommation PV contribue), de RE2020 (bâtiments neufs à énergie positive) et de la trajectoire REPowerEU (600 GW de solaire UE d'ici 2030), qui légitime l'urgence du sujet pour Oxand.</w:t>
      </w:r>
    </w:p>
    <w:p>
      <w:pPr>
        <w:jc w:val="center"/>
      </w:pPr>
      <w:r>
        <w:drawing>
          <wp:inline xmlns:a="http://schemas.openxmlformats.org/drawingml/2006/main" xmlns:pic="http://schemas.openxmlformats.org/drawingml/2006/picture">
            <wp:extent cx="5760000" cy="2400742"/>
            <wp:docPr id="1" name="Picture 1"/>
            <wp:cNvGraphicFramePr>
              <a:graphicFrameLocks noChangeAspect="1"/>
            </wp:cNvGraphicFramePr>
            <a:graphic>
              <a:graphicData uri="http://schemas.openxmlformats.org/drawingml/2006/picture">
                <pic:pic>
                  <pic:nvPicPr>
                    <pic:cNvPr id="0" name="gantt.jpg"/>
                    <pic:cNvPicPr/>
                  </pic:nvPicPr>
                  <pic:blipFill>
                    <a:blip r:embed="rId9"/>
                    <a:stretch>
                      <a:fillRect/>
                    </a:stretch>
                  </pic:blipFill>
                  <pic:spPr>
                    <a:xfrm>
                      <a:off x="0" y="0"/>
                      <a:ext cx="5760000" cy="2400742"/>
                    </a:xfrm>
                    <a:prstGeom prst="rect"/>
                  </pic:spPr>
                </pic:pic>
              </a:graphicData>
            </a:graphic>
          </wp:inline>
        </w:drawing>
      </w:r>
    </w:p>
    <w:p>
      <w:r>
        <w:rPr>
          <w:b/>
        </w:rPr>
        <w:t>Jalons clés (planning prévisionnel)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Jalon</w:t>
            </w:r>
          </w:p>
        </w:tc>
        <w:tc>
          <w:tcPr>
            <w:tcW w:type="dxa" w:w="2880"/>
            <w:shd w:val="clear" w:color="auto" w:fill="D9E2F3"/>
          </w:tcPr>
          <w:p>
            <w:r>
              <w:rPr>
                <w:b/>
                <w:sz w:val="19"/>
              </w:rPr>
            </w:r>
            <w:r>
              <w:rPr>
                <w:b/>
                <w:sz w:val="19"/>
              </w:rPr>
              <w:t>Jour</w:t>
            </w:r>
          </w:p>
        </w:tc>
        <w:tc>
          <w:tcPr>
            <w:tcW w:type="dxa" w:w="2880"/>
            <w:shd w:val="clear" w:color="auto" w:fill="D9E2F3"/>
          </w:tcPr>
          <w:p>
            <w:r>
              <w:rPr>
                <w:b/>
                <w:sz w:val="19"/>
              </w:rPr>
            </w:r>
            <w:r>
              <w:rPr>
                <w:b/>
                <w:sz w:val="19"/>
              </w:rPr>
              <w:t>Statut</w:t>
            </w:r>
          </w:p>
        </w:tc>
      </w:tr>
      <w:tr>
        <w:tc>
          <w:tcPr>
            <w:tcW w:type="dxa" w:w="2880"/>
          </w:tcPr>
          <w:p>
            <w:r>
              <w:rPr>
                <w:sz w:val="19"/>
              </w:rPr>
            </w:r>
            <w:r>
              <w:rPr>
                <w:sz w:val="19"/>
              </w:rPr>
              <w:t>Note de cadrage validée</w:t>
            </w:r>
          </w:p>
        </w:tc>
        <w:tc>
          <w:tcPr>
            <w:tcW w:type="dxa" w:w="2880"/>
          </w:tcPr>
          <w:p>
            <w:r>
              <w:rPr>
                <w:sz w:val="19"/>
              </w:rPr>
            </w:r>
            <w:r>
              <w:rPr>
                <w:sz w:val="19"/>
              </w:rPr>
              <w:t>J1</w:t>
            </w:r>
          </w:p>
        </w:tc>
        <w:tc>
          <w:tcPr>
            <w:tcW w:type="dxa" w:w="2880"/>
          </w:tcPr>
          <w:p>
            <w:r>
              <w:rPr>
                <w:sz w:val="19"/>
              </w:rPr>
            </w:r>
            <w:r>
              <w:rPr>
                <w:sz w:val="19"/>
              </w:rPr>
              <w:t>Fait</w:t>
            </w:r>
          </w:p>
        </w:tc>
      </w:tr>
      <w:tr>
        <w:tc>
          <w:tcPr>
            <w:tcW w:type="dxa" w:w="2880"/>
          </w:tcPr>
          <w:p>
            <w:r>
              <w:rPr>
                <w:sz w:val="19"/>
              </w:rPr>
            </w:r>
            <w:r>
              <w:rPr>
                <w:sz w:val="19"/>
              </w:rPr>
              <w:t>Jeu de données départemental consolidé</w:t>
            </w:r>
          </w:p>
        </w:tc>
        <w:tc>
          <w:tcPr>
            <w:tcW w:type="dxa" w:w="2880"/>
          </w:tcPr>
          <w:p>
            <w:r>
              <w:rPr>
                <w:sz w:val="19"/>
              </w:rPr>
            </w:r>
            <w:r>
              <w:rPr>
                <w:sz w:val="19"/>
              </w:rPr>
              <w:t>J2</w:t>
            </w:r>
          </w:p>
        </w:tc>
        <w:tc>
          <w:tcPr>
            <w:tcW w:type="dxa" w:w="2880"/>
          </w:tcPr>
          <w:p>
            <w:r>
              <w:rPr>
                <w:sz w:val="19"/>
              </w:rPr>
            </w:r>
            <w:r>
              <w:rPr>
                <w:sz w:val="19"/>
              </w:rPr>
              <w:t>Fait</w:t>
            </w:r>
          </w:p>
        </w:tc>
      </w:tr>
      <w:tr>
        <w:tc>
          <w:tcPr>
            <w:tcW w:type="dxa" w:w="2880"/>
          </w:tcPr>
          <w:p>
            <w:r>
              <w:rPr>
                <w:sz w:val="19"/>
              </w:rPr>
            </w:r>
            <w:r>
              <w:rPr>
                <w:sz w:val="19"/>
              </w:rPr>
              <w:t>Modèle économique testé (28 tests)</w:t>
            </w:r>
          </w:p>
        </w:tc>
        <w:tc>
          <w:tcPr>
            <w:tcW w:type="dxa" w:w="2880"/>
          </w:tcPr>
          <w:p>
            <w:r>
              <w:rPr>
                <w:sz w:val="19"/>
              </w:rPr>
            </w:r>
            <w:r>
              <w:rPr>
                <w:sz w:val="19"/>
              </w:rPr>
              <w:t>J3</w:t>
            </w:r>
          </w:p>
        </w:tc>
        <w:tc>
          <w:tcPr>
            <w:tcW w:type="dxa" w:w="2880"/>
          </w:tcPr>
          <w:p>
            <w:r>
              <w:rPr>
                <w:sz w:val="19"/>
              </w:rPr>
            </w:r>
            <w:r>
              <w:rPr>
                <w:sz w:val="19"/>
              </w:rPr>
              <w:t>Fait</w:t>
            </w:r>
          </w:p>
        </w:tc>
      </w:tr>
      <w:tr>
        <w:tc>
          <w:tcPr>
            <w:tcW w:type="dxa" w:w="2880"/>
          </w:tcPr>
          <w:p>
            <w:r>
              <w:rPr>
                <w:sz w:val="19"/>
              </w:rPr>
            </w:r>
            <w:r>
              <w:rPr>
                <w:sz w:val="19"/>
              </w:rPr>
              <w:t>Dashboard Streamlit déployé</w:t>
            </w:r>
          </w:p>
        </w:tc>
        <w:tc>
          <w:tcPr>
            <w:tcW w:type="dxa" w:w="2880"/>
          </w:tcPr>
          <w:p>
            <w:r>
              <w:rPr>
                <w:sz w:val="19"/>
              </w:rPr>
            </w:r>
            <w:r>
              <w:rPr>
                <w:sz w:val="19"/>
              </w:rPr>
              <w:t>J4</w:t>
            </w:r>
          </w:p>
        </w:tc>
        <w:tc>
          <w:tcPr>
            <w:tcW w:type="dxa" w:w="2880"/>
          </w:tcPr>
          <w:p>
            <w:r>
              <w:rPr>
                <w:sz w:val="19"/>
              </w:rPr>
            </w:r>
            <w:r>
              <w:rPr>
                <w:sz w:val="19"/>
              </w:rPr>
              <w:t>En cours</w:t>
            </w:r>
          </w:p>
        </w:tc>
      </w:tr>
      <w:tr>
        <w:tc>
          <w:tcPr>
            <w:tcW w:type="dxa" w:w="2880"/>
          </w:tcPr>
          <w:p>
            <w:r>
              <w:rPr>
                <w:sz w:val="19"/>
              </w:rPr>
            </w:r>
            <w:r>
              <w:rPr>
                <w:sz w:val="19"/>
              </w:rPr>
              <w:t>Document de pilotage</w:t>
            </w:r>
          </w:p>
        </w:tc>
        <w:tc>
          <w:tcPr>
            <w:tcW w:type="dxa" w:w="2880"/>
          </w:tcPr>
          <w:p>
            <w:r>
              <w:rPr>
                <w:sz w:val="19"/>
              </w:rPr>
            </w:r>
            <w:r>
              <w:rPr>
                <w:sz w:val="19"/>
              </w:rPr>
              <w:t>J4</w:t>
            </w:r>
          </w:p>
        </w:tc>
        <w:tc>
          <w:tcPr>
            <w:tcW w:type="dxa" w:w="2880"/>
          </w:tcPr>
          <w:p>
            <w:r>
              <w:rPr>
                <w:sz w:val="19"/>
              </w:rPr>
            </w:r>
            <w:r>
              <w:rPr>
                <w:sz w:val="19"/>
              </w:rPr>
              <w:t>En cours (ce document)</w:t>
            </w:r>
          </w:p>
        </w:tc>
      </w:tr>
      <w:tr>
        <w:tc>
          <w:tcPr>
            <w:tcW w:type="dxa" w:w="2880"/>
          </w:tcPr>
          <w:p>
            <w:r>
              <w:rPr>
                <w:sz w:val="19"/>
              </w:rPr>
            </w:r>
            <w:r>
              <w:rPr>
                <w:sz w:val="19"/>
              </w:rPr>
              <w:t>Recettage &amp; relecture croisée</w:t>
            </w:r>
          </w:p>
        </w:tc>
        <w:tc>
          <w:tcPr>
            <w:tcW w:type="dxa" w:w="2880"/>
          </w:tcPr>
          <w:p>
            <w:r>
              <w:rPr>
                <w:sz w:val="19"/>
              </w:rPr>
            </w:r>
            <w:r>
              <w:rPr>
                <w:sz w:val="19"/>
              </w:rPr>
              <w:t>J5</w:t>
            </w:r>
          </w:p>
        </w:tc>
        <w:tc>
          <w:tcPr>
            <w:tcW w:type="dxa" w:w="2880"/>
          </w:tcPr>
          <w:p>
            <w:r>
              <w:rPr>
                <w:sz w:val="19"/>
              </w:rPr>
            </w:r>
            <w:r>
              <w:rPr>
                <w:sz w:val="19"/>
              </w:rPr>
              <w:t>À venir</w:t>
            </w:r>
          </w:p>
        </w:tc>
      </w:tr>
      <w:tr>
        <w:tc>
          <w:tcPr>
            <w:tcW w:type="dxa" w:w="2880"/>
          </w:tcPr>
          <w:p>
            <w:r>
              <w:rPr>
                <w:sz w:val="19"/>
              </w:rPr>
            </w:r>
            <w:r>
              <w:rPr>
                <w:sz w:val="19"/>
              </w:rPr>
              <w:t>Dossier technique remis</w:t>
            </w:r>
          </w:p>
        </w:tc>
        <w:tc>
          <w:tcPr>
            <w:tcW w:type="dxa" w:w="2880"/>
          </w:tcPr>
          <w:p>
            <w:r>
              <w:rPr>
                <w:sz w:val="19"/>
              </w:rPr>
            </w:r>
            <w:r>
              <w:rPr>
                <w:sz w:val="19"/>
              </w:rPr>
              <w:t>J6</w:t>
            </w:r>
          </w:p>
        </w:tc>
        <w:tc>
          <w:tcPr>
            <w:tcW w:type="dxa" w:w="2880"/>
          </w:tcPr>
          <w:p>
            <w:r>
              <w:rPr>
                <w:sz w:val="19"/>
              </w:rPr>
            </w:r>
            <w:r>
              <w:rPr>
                <w:sz w:val="19"/>
              </w:rPr>
              <w:t>À venir</w:t>
            </w:r>
          </w:p>
        </w:tc>
      </w:tr>
      <w:tr>
        <w:tc>
          <w:tcPr>
            <w:tcW w:type="dxa" w:w="2880"/>
          </w:tcPr>
          <w:p>
            <w:r>
              <w:rPr>
                <w:sz w:val="19"/>
              </w:rPr>
            </w:r>
            <w:r>
              <w:rPr>
                <w:sz w:val="19"/>
              </w:rPr>
              <w:t>Soutenance</w:t>
            </w:r>
          </w:p>
        </w:tc>
        <w:tc>
          <w:tcPr>
            <w:tcW w:type="dxa" w:w="2880"/>
          </w:tcPr>
          <w:p>
            <w:r>
              <w:rPr>
                <w:sz w:val="19"/>
              </w:rPr>
            </w:r>
            <w:r>
              <w:rPr>
                <w:sz w:val="19"/>
              </w:rPr>
              <w:t>J7</w:t>
            </w:r>
          </w:p>
        </w:tc>
        <w:tc>
          <w:tcPr>
            <w:tcW w:type="dxa" w:w="2880"/>
          </w:tcPr>
          <w:p>
            <w:r>
              <w:rPr>
                <w:sz w:val="19"/>
              </w:rPr>
            </w:r>
            <w:r>
              <w:rPr>
                <w:sz w:val="19"/>
              </w:rPr>
              <w:t>À venir</w:t>
            </w:r>
          </w:p>
        </w:tc>
      </w:tr>
    </w:tbl>
    <w:p/>
    <w:p/>
    <w:p>
      <w:pPr>
        <w:pStyle w:val="Heading2"/>
      </w:pPr>
      <w:r>
        <w:t>3. Outils de suivi</w:t>
      </w:r>
    </w:p>
    <w:p>
      <w:r>
        <w:rPr>
          <w:i/>
        </w:rPr>
        <w:t>Critères couverts : (4) plateforme de gestion de projet adaptée, (5) outils/modalités de reporting adaptés, (7) visibilité client sur l'avancement.</w:t>
      </w:r>
    </w:p>
    <w:p>
      <w:r>
        <w:t xml:space="preserve">Pour un projet solo d'une semaine, l'enjeu n'est pas la coordination multi-équipe mais la </w:t>
      </w:r>
      <w:r>
        <w:rPr>
          <w:b/>
        </w:rPr>
        <w:t>traçabilité</w:t>
      </w:r>
      <w:r>
        <w:t xml:space="preserve"> de l'avancement et la </w:t>
      </w:r>
      <w:r>
        <w:rPr>
          <w:b/>
        </w:rPr>
        <w:t>lisibilité</w:t>
      </w:r>
      <w:r>
        <w:t xml:space="preserve"> pour un client qui n'a pas le temps de suivre le détail technique au quotidien. Un board Kanban léger (Trello ou Notion, équivalents pour cet usage) est donc suffisant et évite la sur-ingénierie d'un outil de type Jira.</w:t>
      </w:r>
    </w:p>
    <w:p>
      <w:r>
        <w:rPr>
          <w:b/>
        </w:rPr>
        <w:t>Board Kanban</w:t>
      </w:r>
      <w:r>
        <w:t xml:space="preserve"> — colonnes </w:t>
      </w:r>
      <w:r>
        <w:rPr>
          <w:rFonts w:ascii="Consolas" w:hAnsi="Consolas"/>
          <w:sz w:val="19"/>
        </w:rPr>
        <w:t>To Do</w:t>
      </w:r>
      <w:r>
        <w:t xml:space="preserve"> / </w:t>
      </w:r>
      <w:r>
        <w:rPr>
          <w:rFonts w:ascii="Consolas" w:hAnsi="Consolas"/>
          <w:sz w:val="19"/>
        </w:rPr>
        <w:t>Doing</w:t>
      </w:r>
      <w:r>
        <w:t xml:space="preserve"> / </w:t>
      </w:r>
      <w:r>
        <w:rPr>
          <w:rFonts w:ascii="Consolas" w:hAnsi="Consolas"/>
          <w:sz w:val="19"/>
        </w:rPr>
        <w:t>Review</w:t>
      </w:r>
      <w:r>
        <w:t xml:space="preserve"> / </w:t>
      </w:r>
      <w:r>
        <w:rPr>
          <w:rFonts w:ascii="Consolas" w:hAnsi="Consolas"/>
          <w:sz w:val="19"/>
        </w:rPr>
        <w:t>Done</w:t>
      </w:r>
      <w:r>
        <w:t>, une carte par lot de travail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19"/>
              </w:rPr>
            </w:r>
            <w:r>
              <w:rPr>
                <w:b/>
                <w:sz w:val="19"/>
              </w:rPr>
              <w:t>To Do</w:t>
            </w:r>
          </w:p>
        </w:tc>
        <w:tc>
          <w:tcPr>
            <w:tcW w:type="dxa" w:w="2160"/>
            <w:shd w:val="clear" w:color="auto" w:fill="D9E2F3"/>
          </w:tcPr>
          <w:p>
            <w:r>
              <w:rPr>
                <w:b/>
                <w:sz w:val="19"/>
              </w:rPr>
            </w:r>
            <w:r>
              <w:rPr>
                <w:b/>
                <w:sz w:val="19"/>
              </w:rPr>
              <w:t>Doing</w:t>
            </w:r>
          </w:p>
        </w:tc>
        <w:tc>
          <w:tcPr>
            <w:tcW w:type="dxa" w:w="2160"/>
            <w:shd w:val="clear" w:color="auto" w:fill="D9E2F3"/>
          </w:tcPr>
          <w:p>
            <w:r>
              <w:rPr>
                <w:b/>
                <w:sz w:val="19"/>
              </w:rPr>
            </w:r>
            <w:r>
              <w:rPr>
                <w:b/>
                <w:sz w:val="19"/>
              </w:rPr>
              <w:t>Review</w:t>
            </w:r>
          </w:p>
        </w:tc>
        <w:tc>
          <w:tcPr>
            <w:tcW w:type="dxa" w:w="2160"/>
            <w:shd w:val="clear" w:color="auto" w:fill="D9E2F3"/>
          </w:tcPr>
          <w:p>
            <w:r>
              <w:rPr>
                <w:b/>
                <w:sz w:val="19"/>
              </w:rPr>
            </w:r>
            <w:r>
              <w:rPr>
                <w:b/>
                <w:sz w:val="19"/>
              </w:rPr>
              <w:t>Done</w:t>
            </w:r>
          </w:p>
        </w:tc>
      </w:tr>
      <w:tr>
        <w:tc>
          <w:tcPr>
            <w:tcW w:type="dxa" w:w="2160"/>
          </w:tcPr>
          <w:p>
            <w:r>
              <w:rPr>
                <w:sz w:val="19"/>
              </w:rPr>
            </w:r>
            <w:r>
              <w:rPr>
                <w:sz w:val="19"/>
              </w:rPr>
              <w:t>Dossier technique</w:t>
            </w:r>
          </w:p>
        </w:tc>
        <w:tc>
          <w:tcPr>
            <w:tcW w:type="dxa" w:w="2160"/>
          </w:tcPr>
          <w:p>
            <w:r>
              <w:rPr>
                <w:sz w:val="19"/>
              </w:rPr>
            </w:r>
            <w:r>
              <w:rPr>
                <w:sz w:val="19"/>
              </w:rPr>
              <w:t>Dashboard Streamlit</w:t>
            </w:r>
          </w:p>
        </w:tc>
        <w:tc>
          <w:tcPr>
            <w:tcW w:type="dxa" w:w="2160"/>
          </w:tcPr>
          <w:p>
            <w:r>
              <w:rPr>
                <w:sz w:val="19"/>
              </w:rPr>
            </w:r>
            <w:r>
              <w:rPr>
                <w:sz w:val="19"/>
              </w:rPr>
              <w:t>Document de pilotage</w:t>
            </w:r>
          </w:p>
        </w:tc>
        <w:tc>
          <w:tcPr>
            <w:tcW w:type="dxa" w:w="2160"/>
          </w:tcPr>
          <w:p>
            <w:r>
              <w:rPr>
                <w:sz w:val="19"/>
              </w:rPr>
            </w:r>
            <w:r>
              <w:rPr>
                <w:sz w:val="19"/>
              </w:rPr>
              <w:t>Note de cadrage</w:t>
            </w:r>
          </w:p>
        </w:tc>
      </w:tr>
      <w:tr>
        <w:tc>
          <w:tcPr>
            <w:tcW w:type="dxa" w:w="2160"/>
          </w:tcPr>
          <w:p>
            <w:r>
              <w:rPr>
                <w:sz w:val="19"/>
              </w:rPr>
            </w:r>
            <w:r>
              <w:rPr>
                <w:sz w:val="19"/>
              </w:rPr>
              <w:t>Recettage final</w:t>
            </w:r>
          </w:p>
        </w:tc>
        <w:tc>
          <w:tcPr>
            <w:tcW w:type="dxa" w:w="2160"/>
          </w:tcPr>
          <w:p>
            <w:r>
              <w:rPr>
                <w:sz w:val="19"/>
              </w:rPr>
            </w:r>
            <w:r>
              <w:rPr>
                <w:sz w:val="19"/>
              </w:rPr>
            </w:r>
          </w:p>
        </w:tc>
        <w:tc>
          <w:tcPr>
            <w:tcW w:type="dxa" w:w="2160"/>
          </w:tcPr>
          <w:p>
            <w:r>
              <w:rPr>
                <w:sz w:val="19"/>
              </w:rPr>
            </w:r>
            <w:r>
              <w:rPr>
                <w:sz w:val="19"/>
              </w:rPr>
            </w:r>
          </w:p>
        </w:tc>
        <w:tc>
          <w:tcPr>
            <w:tcW w:type="dxa" w:w="2160"/>
          </w:tcPr>
          <w:p>
            <w:r>
              <w:rPr>
                <w:sz w:val="19"/>
              </w:rPr>
            </w:r>
            <w:r>
              <w:rPr>
                <w:sz w:val="19"/>
              </w:rPr>
              <w:t>Collecte données PVGIS/GeoJSON</w:t>
            </w:r>
          </w:p>
        </w:tc>
      </w:tr>
      <w:tr>
        <w:tc>
          <w:tcPr>
            <w:tcW w:type="dxa" w:w="2160"/>
          </w:tcPr>
          <w:p>
            <w:r>
              <w:rPr>
                <w:sz w:val="19"/>
              </w:rPr>
            </w:r>
            <w:r>
              <w:rPr>
                <w:sz w:val="19"/>
              </w:rPr>
              <w:t>Soutenance</w:t>
            </w:r>
          </w:p>
        </w:tc>
        <w:tc>
          <w:tcPr>
            <w:tcW w:type="dxa" w:w="2160"/>
          </w:tcPr>
          <w:p>
            <w:r>
              <w:rPr>
                <w:sz w:val="19"/>
              </w:rPr>
            </w:r>
            <w:r>
              <w:rPr>
                <w:sz w:val="19"/>
              </w:rPr>
            </w:r>
          </w:p>
        </w:tc>
        <w:tc>
          <w:tcPr>
            <w:tcW w:type="dxa" w:w="2160"/>
          </w:tcPr>
          <w:p>
            <w:r>
              <w:rPr>
                <w:sz w:val="19"/>
              </w:rPr>
            </w:r>
            <w:r>
              <w:rPr>
                <w:sz w:val="19"/>
              </w:rPr>
            </w:r>
          </w:p>
        </w:tc>
        <w:tc>
          <w:tcPr>
            <w:tcW w:type="dxa" w:w="2160"/>
          </w:tcPr>
          <w:p>
            <w:r>
              <w:rPr>
                <w:sz w:val="19"/>
              </w:rPr>
            </w:r>
            <w:r>
              <w:rPr>
                <w:sz w:val="19"/>
              </w:rPr>
              <w:t>Modèle économique + tests</w:t>
            </w:r>
          </w:p>
        </w:tc>
      </w:tr>
      <w:tr>
        <w:tc>
          <w:tcPr>
            <w:tcW w:type="dxa" w:w="2160"/>
          </w:tcPr>
          <w:p>
            <w:r>
              <w:rPr>
                <w:sz w:val="19"/>
              </w:rPr>
            </w:r>
            <w:r>
              <w:rPr>
                <w:sz w:val="19"/>
              </w:rPr>
            </w:r>
          </w:p>
        </w:tc>
        <w:tc>
          <w:tcPr>
            <w:tcW w:type="dxa" w:w="2160"/>
          </w:tcPr>
          <w:p>
            <w:r>
              <w:rPr>
                <w:sz w:val="19"/>
              </w:rPr>
            </w:r>
            <w:r>
              <w:rPr>
                <w:sz w:val="19"/>
              </w:rPr>
            </w:r>
          </w:p>
        </w:tc>
        <w:tc>
          <w:tcPr>
            <w:tcW w:type="dxa" w:w="2160"/>
          </w:tcPr>
          <w:p>
            <w:r>
              <w:rPr>
                <w:sz w:val="19"/>
              </w:rPr>
            </w:r>
            <w:r>
              <w:rPr>
                <w:sz w:val="19"/>
              </w:rPr>
            </w:r>
          </w:p>
        </w:tc>
        <w:tc>
          <w:tcPr>
            <w:tcW w:type="dxa" w:w="2160"/>
          </w:tcPr>
          <w:p>
            <w:r>
              <w:rPr>
                <w:sz w:val="19"/>
              </w:rPr>
            </w:r>
            <w:r>
              <w:rPr>
                <w:sz w:val="19"/>
              </w:rPr>
              <w:t>Sensibilité taux d'autoconsommation</w:t>
            </w:r>
          </w:p>
        </w:tc>
      </w:tr>
    </w:tbl>
    <w:p/>
    <w:p>
      <w:r>
        <w:t xml:space="preserve">Chaque carte porte : description du livrable, checklist de sous-tâches, étiquette de risque associée (voir registre section 4), et lien vers le commit git correspondant une fois en </w:t>
      </w:r>
      <w:r>
        <w:rPr>
          <w:rFonts w:ascii="Consolas" w:hAnsi="Consolas"/>
          <w:sz w:val="19"/>
        </w:rPr>
        <w:t>Done</w:t>
      </w:r>
      <w:r>
        <w:t xml:space="preserve"> — ce qui permet un audit rapide de l'avancement réel (et pas seulement déclaré).</w:t>
      </w:r>
    </w:p>
    <w:p>
      <w:r>
        <w:rPr>
          <w:b/>
        </w:rPr>
        <w:t>Canaux de communication client :</w:t>
      </w:r>
    </w:p>
    <w:p>
      <w:pPr>
        <w:pStyle w:val="ListBullet"/>
      </w:pPr>
      <w:r>
        <w:rPr>
          <w:b/>
        </w:rPr>
        <w:t>Mail</w:t>
      </w:r>
      <w:r>
        <w:t xml:space="preserve"> — échanges asynchrones pour les décisions de cadrage (validation du périmètre, arbitrages sur les hypothèses économiques) et le partage des livrables intermédiaires.</w:t>
      </w:r>
    </w:p>
    <w:p>
      <w:pPr>
        <w:pStyle w:val="ListBullet"/>
      </w:pPr>
      <w:r>
        <w:rPr>
          <w:b/>
        </w:rPr>
        <w:t>Point hebdomadaire</w:t>
      </w:r>
      <w:r>
        <w:t xml:space="preserve"> — synchronisation courte (15–30 min) en fin de semaine : démonstration de l'avancement sur le board, revue des risques ouverts, décision sur les priorités de la période suivante. C'est le principal levier de </w:t>
      </w:r>
      <w:r>
        <w:rPr>
          <w:b/>
        </w:rPr>
        <w:t>visibilité client</w:t>
      </w:r>
      <w:r>
        <w:t xml:space="preserve"> : le board fait office de tableau de bord partagé, consultable à tout moment entre deux points.</w:t>
      </w:r>
    </w:p>
    <w:p/>
    <w:p>
      <w:pPr>
        <w:pStyle w:val="Heading2"/>
      </w:pPr>
      <w:r>
        <w:t>4. Registre des risques</w:t>
      </w:r>
    </w:p>
    <w:p>
      <w:r>
        <w:rPr>
          <w:i/>
        </w:rPr>
        <w:t>Critères couverts : (8) détection en temps réel des risques.</w:t>
      </w:r>
    </w:p>
    <w:p>
      <w:r>
        <w:t xml:space="preserve">Le registre est tenu à jour en continu (une carte de risque par ligne sur le board, révisée à chaque point hebdomadaire et à chaque changement d'état significatif — ex. échec d'un appel PVGIS, dépassement de temps sur un lot). Cela permet une détection </w:t>
      </w:r>
      <w:r>
        <w:rPr>
          <w:b/>
        </w:rPr>
        <w:t>en continu</w:t>
      </w:r>
      <w:r>
        <w:t xml:space="preserve"> plutôt qu'a posteriori : un risque qui se matérialise (ex. l'API PVGIS renvoie une erreur) est visible immédiatement dans les logs applicatifs (</w:t>
      </w:r>
      <w:r>
        <w:rPr>
          <w:rFonts w:ascii="Consolas" w:hAnsi="Consolas"/>
          <w:sz w:val="19"/>
        </w:rPr>
        <w:t>src/gisement.py</w:t>
      </w:r>
      <w:r>
        <w:t xml:space="preserve"> journalise les échecs et bascule sur le fallback) et remonté au board dès sa détection.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9"/>
              </w:rPr>
            </w:r>
            <w:r>
              <w:rPr>
                <w:b/>
                <w:sz w:val="19"/>
              </w:rPr>
              <w:t>Risque</w:t>
            </w:r>
          </w:p>
        </w:tc>
        <w:tc>
          <w:tcPr>
            <w:tcW w:type="dxa" w:w="1728"/>
            <w:shd w:val="clear" w:color="auto" w:fill="D9E2F3"/>
          </w:tcPr>
          <w:p>
            <w:r>
              <w:rPr>
                <w:b/>
                <w:sz w:val="19"/>
              </w:rPr>
            </w:r>
            <w:r>
              <w:rPr>
                <w:b/>
                <w:sz w:val="19"/>
              </w:rPr>
              <w:t>Probabilité</w:t>
            </w:r>
          </w:p>
        </w:tc>
        <w:tc>
          <w:tcPr>
            <w:tcW w:type="dxa" w:w="1728"/>
            <w:shd w:val="clear" w:color="auto" w:fill="D9E2F3"/>
          </w:tcPr>
          <w:p>
            <w:r>
              <w:rPr>
                <w:b/>
                <w:sz w:val="19"/>
              </w:rPr>
            </w:r>
            <w:r>
              <w:rPr>
                <w:b/>
                <w:sz w:val="19"/>
              </w:rPr>
              <w:t>Impact</w:t>
            </w:r>
          </w:p>
        </w:tc>
        <w:tc>
          <w:tcPr>
            <w:tcW w:type="dxa" w:w="1728"/>
            <w:shd w:val="clear" w:color="auto" w:fill="D9E2F3"/>
          </w:tcPr>
          <w:p>
            <w:r>
              <w:rPr>
                <w:b/>
                <w:sz w:val="19"/>
              </w:rPr>
            </w:r>
            <w:r>
              <w:rPr>
                <w:b/>
                <w:sz w:val="19"/>
              </w:rPr>
              <w:t>Mitigation</w:t>
            </w:r>
          </w:p>
        </w:tc>
        <w:tc>
          <w:tcPr>
            <w:tcW w:type="dxa" w:w="1728"/>
            <w:shd w:val="clear" w:color="auto" w:fill="D9E2F3"/>
          </w:tcPr>
          <w:p>
            <w:r>
              <w:rPr>
                <w:b/>
                <w:sz w:val="19"/>
              </w:rPr>
            </w:r>
            <w:r>
              <w:rPr>
                <w:b/>
                <w:sz w:val="19"/>
              </w:rPr>
              <w:t>Statut</w:t>
            </w:r>
          </w:p>
        </w:tc>
      </w:tr>
      <w:tr>
        <w:tc>
          <w:tcPr>
            <w:tcW w:type="dxa" w:w="1728"/>
          </w:tcPr>
          <w:p>
            <w:r>
              <w:rPr>
                <w:sz w:val="19"/>
              </w:rPr>
            </w:r>
            <w:r>
              <w:rPr>
                <w:sz w:val="19"/>
              </w:rPr>
              <w:t>Indisponibilité / limitation de l'API PVGIS (quota, panne, latence)</w:t>
            </w:r>
          </w:p>
        </w:tc>
        <w:tc>
          <w:tcPr>
            <w:tcW w:type="dxa" w:w="1728"/>
          </w:tcPr>
          <w:p>
            <w:r>
              <w:rPr>
                <w:sz w:val="19"/>
              </w:rPr>
            </w:r>
            <w:r>
              <w:rPr>
                <w:sz w:val="19"/>
              </w:rPr>
              <w:t>Moyenne</w:t>
            </w:r>
          </w:p>
        </w:tc>
        <w:tc>
          <w:tcPr>
            <w:tcW w:type="dxa" w:w="1728"/>
          </w:tcPr>
          <w:p>
            <w:r>
              <w:rPr>
                <w:sz w:val="19"/>
              </w:rPr>
            </w:r>
            <w:r>
              <w:rPr>
                <w:sz w:val="19"/>
              </w:rPr>
              <w:t>Élevé (bloque la collecte des 96 départements)</w:t>
            </w:r>
          </w:p>
        </w:tc>
        <w:tc>
          <w:tcPr>
            <w:tcW w:type="dxa" w:w="1728"/>
          </w:tcPr>
          <w:p>
            <w:r>
              <w:rPr>
                <w:sz w:val="19"/>
              </w:rPr>
            </w:r>
            <w:r>
              <w:rPr>
                <w:sz w:val="19"/>
              </w:rPr>
              <w:t>Cache local des réponses (</w:t>
            </w:r>
            <w:r>
              <w:rPr>
                <w:rFonts w:ascii="Consolas" w:hAnsi="Consolas"/>
                <w:sz w:val="19"/>
              </w:rPr>
              <w:t>src/gisement.py</w:t>
            </w:r>
            <w:r>
              <w:rPr>
                <w:sz w:val="19"/>
              </w:rPr>
              <w:t xml:space="preserve">) dès le premier appel réussi + </w:t>
            </w:r>
            <w:r>
              <w:rPr>
                <w:b/>
                <w:sz w:val="19"/>
              </w:rPr>
              <w:t>fallback synthétique</w:t>
            </w:r>
            <w:r>
              <w:rPr>
                <w:sz w:val="19"/>
              </w:rPr>
              <w:t xml:space="preserve"> basé sur un gradient Nord-Sud si l'API est indisponible, pour ne jamais bloquer la suite du pipeline</w:t>
            </w:r>
          </w:p>
        </w:tc>
        <w:tc>
          <w:tcPr>
            <w:tcW w:type="dxa" w:w="1728"/>
          </w:tcPr>
          <w:p>
            <w:r>
              <w:rPr>
                <w:sz w:val="19"/>
              </w:rPr>
            </w:r>
            <w:r>
              <w:rPr>
                <w:sz w:val="19"/>
              </w:rPr>
              <w:t>Maîtrisé — cache + fallback implémentés et testés (</w:t>
            </w:r>
            <w:r>
              <w:rPr>
                <w:rFonts w:ascii="Consolas" w:hAnsi="Consolas"/>
                <w:sz w:val="19"/>
              </w:rPr>
              <w:t>tests/test_gisement.py</w:t>
            </w:r>
            <w:r>
              <w:rPr>
                <w:sz w:val="19"/>
              </w:rPr>
              <w:t>)</w:t>
            </w:r>
          </w:p>
        </w:tc>
      </w:tr>
      <w:tr>
        <w:tc>
          <w:tcPr>
            <w:tcW w:type="dxa" w:w="1728"/>
          </w:tcPr>
          <w:p>
            <w:r>
              <w:rPr>
                <w:sz w:val="19"/>
              </w:rPr>
            </w:r>
            <w:r>
              <w:rPr>
                <w:sz w:val="19"/>
              </w:rPr>
              <w:t>Dérive de périmètre (extension non planifiée : Europe, résidentiel, bâtiment par bâtiment)</w:t>
            </w:r>
          </w:p>
        </w:tc>
        <w:tc>
          <w:tcPr>
            <w:tcW w:type="dxa" w:w="1728"/>
          </w:tcPr>
          <w:p>
            <w:r>
              <w:rPr>
                <w:sz w:val="19"/>
              </w:rPr>
            </w:r>
            <w:r>
              <w:rPr>
                <w:sz w:val="19"/>
              </w:rPr>
              <w:t>Moyenne</w:t>
            </w:r>
          </w:p>
        </w:tc>
        <w:tc>
          <w:tcPr>
            <w:tcW w:type="dxa" w:w="1728"/>
          </w:tcPr>
          <w:p>
            <w:r>
              <w:rPr>
                <w:sz w:val="19"/>
              </w:rPr>
            </w:r>
            <w:r>
              <w:rPr>
                <w:sz w:val="19"/>
              </w:rPr>
              <w:t>Élevé (menace le respect des délais)</w:t>
            </w:r>
          </w:p>
        </w:tc>
        <w:tc>
          <w:tcPr>
            <w:tcW w:type="dxa" w:w="1728"/>
          </w:tcPr>
          <w:p>
            <w:r>
              <w:rPr>
                <w:sz w:val="19"/>
              </w:rPr>
            </w:r>
            <w:r>
              <w:rPr>
                <w:sz w:val="19"/>
              </w:rPr>
              <w:t xml:space="preserve">Note de cadrage </w:t>
            </w:r>
            <w:r>
              <w:rPr>
                <w:b/>
                <w:sz w:val="19"/>
              </w:rPr>
              <w:t>figée</w:t>
            </w:r>
            <w:r>
              <w:rPr>
                <w:sz w:val="19"/>
              </w:rPr>
              <w:t xml:space="preserve"> dès le premier jour, avec un périmètre explicite (France métropolitaine, tertiaire 9–500 kWc, granularité départementale) et une section « hors périmètre / YAGNI » assumée</w:t>
            </w:r>
          </w:p>
        </w:tc>
        <w:tc>
          <w:tcPr>
            <w:tcW w:type="dxa" w:w="1728"/>
          </w:tcPr>
          <w:p>
            <w:r>
              <w:rPr>
                <w:sz w:val="19"/>
              </w:rPr>
            </w:r>
            <w:r>
              <w:rPr>
                <w:sz w:val="19"/>
              </w:rPr>
              <w:t>Maîtrisé — périmètre respecté sur l'ensemble du projet</w:t>
            </w:r>
          </w:p>
        </w:tc>
      </w:tr>
      <w:tr>
        <w:tc>
          <w:tcPr>
            <w:tcW w:type="dxa" w:w="1728"/>
          </w:tcPr>
          <w:p>
            <w:r>
              <w:rPr>
                <w:sz w:val="19"/>
              </w:rPr>
            </w:r>
            <w:r>
              <w:rPr>
                <w:sz w:val="19"/>
              </w:rPr>
              <w:t>Hypothèses économiques datées ou approximatives (CAPEX, OPEX, tarifs S21)</w:t>
            </w:r>
          </w:p>
        </w:tc>
        <w:tc>
          <w:tcPr>
            <w:tcW w:type="dxa" w:w="1728"/>
          </w:tcPr>
          <w:p>
            <w:r>
              <w:rPr>
                <w:sz w:val="19"/>
              </w:rPr>
            </w:r>
            <w:r>
              <w:rPr>
                <w:sz w:val="19"/>
              </w:rPr>
              <w:t>Élevée (les prix évoluent vite)</w:t>
            </w:r>
          </w:p>
        </w:tc>
        <w:tc>
          <w:tcPr>
            <w:tcW w:type="dxa" w:w="1728"/>
          </w:tcPr>
          <w:p>
            <w:r>
              <w:rPr>
                <w:sz w:val="19"/>
              </w:rPr>
            </w:r>
            <w:r>
              <w:rPr>
                <w:sz w:val="19"/>
              </w:rPr>
              <w:t>Moyen (fausse la précision affichée mais pas la méthode)</w:t>
            </w:r>
          </w:p>
        </w:tc>
        <w:tc>
          <w:tcPr>
            <w:tcW w:type="dxa" w:w="1728"/>
          </w:tcPr>
          <w:p>
            <w:r>
              <w:rPr>
                <w:sz w:val="19"/>
              </w:rPr>
            </w:r>
            <w:r>
              <w:rPr>
                <w:sz w:val="19"/>
              </w:rPr>
              <w:t xml:space="preserve">Étiquetage explicite de la nature de chaque donnée (réelle / hypothèse / calculée, cf. tableau README) + </w:t>
            </w:r>
            <w:r>
              <w:rPr>
                <w:b/>
                <w:sz w:val="19"/>
              </w:rPr>
              <w:t>analyse de sensibilité</w:t>
            </w:r>
            <w:r>
              <w:rPr>
                <w:sz w:val="19"/>
              </w:rPr>
              <w:t xml:space="preserve"> (taux d'autoconsommation 40/65/90 %) pour montrer la robustesse des conclusions plutôt que des valeurs figées ; hypothèses centralisées et facilement révisables via la dataclass </w:t>
            </w:r>
            <w:r>
              <w:rPr>
                <w:rFonts w:ascii="Consolas" w:hAnsi="Consolas"/>
                <w:sz w:val="19"/>
              </w:rPr>
              <w:t>Assumptions</w:t>
            </w:r>
          </w:p>
        </w:tc>
        <w:tc>
          <w:tcPr>
            <w:tcW w:type="dxa" w:w="1728"/>
          </w:tcPr>
          <w:p>
            <w:r>
              <w:rPr>
                <w:sz w:val="19"/>
              </w:rPr>
            </w:r>
            <w:r>
              <w:rPr>
                <w:sz w:val="19"/>
              </w:rPr>
              <w:t>Maîtrisé — étiquetage en place, sensibilité disponible dans le notebook et le dashboard</w:t>
            </w:r>
          </w:p>
        </w:tc>
      </w:tr>
      <w:tr>
        <w:tc>
          <w:tcPr>
            <w:tcW w:type="dxa" w:w="1728"/>
          </w:tcPr>
          <w:p>
            <w:r>
              <w:rPr>
                <w:sz w:val="19"/>
              </w:rPr>
            </w:r>
            <w:r>
              <w:rPr>
                <w:sz w:val="19"/>
              </w:rPr>
              <w:t>Temps limité (une semaine, une seule contributrice)</w:t>
            </w:r>
          </w:p>
        </w:tc>
        <w:tc>
          <w:tcPr>
            <w:tcW w:type="dxa" w:w="1728"/>
          </w:tcPr>
          <w:p>
            <w:r>
              <w:rPr>
                <w:sz w:val="19"/>
              </w:rPr>
            </w:r>
            <w:r>
              <w:rPr>
                <w:sz w:val="19"/>
              </w:rPr>
              <w:t>Élevée</w:t>
            </w:r>
          </w:p>
        </w:tc>
        <w:tc>
          <w:tcPr>
            <w:tcW w:type="dxa" w:w="1728"/>
          </w:tcPr>
          <w:p>
            <w:r>
              <w:rPr>
                <w:sz w:val="19"/>
              </w:rPr>
            </w:r>
            <w:r>
              <w:rPr>
                <w:sz w:val="19"/>
              </w:rPr>
              <w:t>Élevé (risque structurel du format)</w:t>
            </w:r>
          </w:p>
        </w:tc>
        <w:tc>
          <w:tcPr>
            <w:tcW w:type="dxa" w:w="1728"/>
          </w:tcPr>
          <w:p>
            <w:r>
              <w:rPr>
                <w:sz w:val="19"/>
              </w:rPr>
            </w:r>
            <w:r>
              <w:rPr>
                <w:sz w:val="19"/>
              </w:rPr>
              <w:t xml:space="preserve">Application stricte du principe </w:t>
            </w:r>
            <w:r>
              <w:rPr>
                <w:b/>
                <w:sz w:val="19"/>
              </w:rPr>
              <w:t>YAGNI</w:t>
            </w:r>
            <w:r>
              <w:rPr>
                <w:sz w:val="19"/>
              </w:rPr>
              <w:t xml:space="preserve"> (pas d'authentification, pas d'appel PVGIS en direct en production, pas d'extension Europe) et priorisation stricte des lots (données et modèle avant dashboard, dashboard avant documentation finale)</w:t>
            </w:r>
          </w:p>
        </w:tc>
        <w:tc>
          <w:tcPr>
            <w:tcW w:type="dxa" w:w="1728"/>
          </w:tcPr>
          <w:p>
            <w:r>
              <w:rPr>
                <w:sz w:val="19"/>
              </w:rPr>
            </w:r>
            <w:r>
              <w:rPr>
                <w:sz w:val="19"/>
              </w:rPr>
              <w:t>Maîtrisé — arbitrages YAGNI documentés dans la spec technique</w:t>
            </w:r>
          </w:p>
        </w:tc>
      </w:tr>
      <w:tr>
        <w:tc>
          <w:tcPr>
            <w:tcW w:type="dxa" w:w="1728"/>
          </w:tcPr>
          <w:p>
            <w:r>
              <w:rPr>
                <w:sz w:val="19"/>
              </w:rPr>
            </w:r>
            <w:r>
              <w:rPr>
                <w:sz w:val="19"/>
              </w:rPr>
              <w:t>Dépendance à des données géographiques externes (GeoJSON officiel) mal alignées (projection, découpage)</w:t>
            </w:r>
          </w:p>
        </w:tc>
        <w:tc>
          <w:tcPr>
            <w:tcW w:type="dxa" w:w="1728"/>
          </w:tcPr>
          <w:p>
            <w:r>
              <w:rPr>
                <w:sz w:val="19"/>
              </w:rPr>
            </w:r>
            <w:r>
              <w:rPr>
                <w:sz w:val="19"/>
              </w:rPr>
              <w:t>Faible</w:t>
            </w:r>
          </w:p>
        </w:tc>
        <w:tc>
          <w:tcPr>
            <w:tcW w:type="dxa" w:w="1728"/>
          </w:tcPr>
          <w:p>
            <w:r>
              <w:rPr>
                <w:sz w:val="19"/>
              </w:rPr>
            </w:r>
            <w:r>
              <w:rPr>
                <w:sz w:val="19"/>
              </w:rPr>
              <w:t>Moyen (erreurs de centroïdes/cartes)</w:t>
            </w:r>
          </w:p>
        </w:tc>
        <w:tc>
          <w:tcPr>
            <w:tcW w:type="dxa" w:w="1728"/>
          </w:tcPr>
          <w:p>
            <w:r>
              <w:rPr>
                <w:sz w:val="19"/>
              </w:rPr>
            </w:r>
            <w:r>
              <w:rPr>
                <w:sz w:val="19"/>
              </w:rPr>
              <w:t>Harmonisation explicite des projections (Lambert-93) et des bornes de tranches, revue finale dédiée (commit de fiabilisation)</w:t>
            </w:r>
          </w:p>
        </w:tc>
        <w:tc>
          <w:tcPr>
            <w:tcW w:type="dxa" w:w="1728"/>
          </w:tcPr>
          <w:p>
            <w:r>
              <w:rPr>
                <w:sz w:val="19"/>
              </w:rPr>
            </w:r>
            <w:r>
              <w:rPr>
                <w:sz w:val="19"/>
              </w:rPr>
              <w:t>Maîtrisé</w:t>
            </w:r>
          </w:p>
        </w:tc>
      </w:tr>
    </w:tbl>
    <w:p/>
    <w:p/>
    <w:p>
      <w:pPr>
        <w:pStyle w:val="Heading2"/>
      </w:pPr>
      <w:r>
        <w:t>5. KPI de projet</w:t>
      </w:r>
    </w:p>
    <w:p>
      <w:r>
        <w:rPr>
          <w:i/>
        </w:rPr>
        <w:t>Critères couverts : (9) contrôle des coûts (suite), (7) visibilité de l'avancement.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KPI</w:t>
            </w:r>
          </w:p>
        </w:tc>
        <w:tc>
          <w:tcPr>
            <w:tcW w:type="dxa" w:w="2880"/>
            <w:shd w:val="clear" w:color="auto" w:fill="D9E2F3"/>
          </w:tcPr>
          <w:p>
            <w:r>
              <w:rPr>
                <w:b/>
                <w:sz w:val="19"/>
              </w:rPr>
            </w:r>
            <w:r>
              <w:rPr>
                <w:b/>
                <w:sz w:val="19"/>
              </w:rPr>
              <w:t>Valeur à date (02/07/2026)</w:t>
            </w:r>
          </w:p>
        </w:tc>
        <w:tc>
          <w:tcPr>
            <w:tcW w:type="dxa" w:w="2880"/>
            <w:shd w:val="clear" w:color="auto" w:fill="D9E2F3"/>
          </w:tcPr>
          <w:p>
            <w:r>
              <w:rPr>
                <w:b/>
                <w:sz w:val="19"/>
              </w:rPr>
            </w:r>
            <w:r>
              <w:rPr>
                <w:b/>
                <w:sz w:val="19"/>
              </w:rPr>
              <w:t>Cible</w:t>
            </w:r>
          </w:p>
        </w:tc>
      </w:tr>
      <w:tr>
        <w:tc>
          <w:tcPr>
            <w:tcW w:type="dxa" w:w="2880"/>
          </w:tcPr>
          <w:p>
            <w:r>
              <w:rPr>
                <w:sz w:val="19"/>
              </w:rPr>
            </w:r>
            <w:r>
              <w:rPr>
                <w:b/>
                <w:sz w:val="19"/>
              </w:rPr>
              <w:t>Avancement des jalons</w:t>
            </w:r>
          </w:p>
        </w:tc>
        <w:tc>
          <w:tcPr>
            <w:tcW w:type="dxa" w:w="2880"/>
          </w:tcPr>
          <w:p>
            <w:r>
              <w:rPr>
                <w:sz w:val="19"/>
              </w:rPr>
            </w:r>
            <w:r>
              <w:rPr>
                <w:sz w:val="19"/>
              </w:rPr>
              <w:t>4 / 7 jalons atteints (cadrage, données, modèle, dashboard en cours)</w:t>
            </w:r>
          </w:p>
        </w:tc>
        <w:tc>
          <w:tcPr>
            <w:tcW w:type="dxa" w:w="2880"/>
          </w:tcPr>
          <w:p>
            <w:r>
              <w:rPr>
                <w:sz w:val="19"/>
              </w:rPr>
            </w:r>
            <w:r>
              <w:rPr>
                <w:sz w:val="19"/>
              </w:rPr>
              <w:t>100 % avant soutenance</w:t>
            </w:r>
          </w:p>
        </w:tc>
      </w:tr>
      <w:tr>
        <w:tc>
          <w:tcPr>
            <w:tcW w:type="dxa" w:w="2880"/>
          </w:tcPr>
          <w:p>
            <w:r>
              <w:rPr>
                <w:sz w:val="19"/>
              </w:rPr>
            </w:r>
            <w:r>
              <w:rPr>
                <w:b/>
                <w:sz w:val="19"/>
              </w:rPr>
              <w:t>Couverture de tests</w:t>
            </w:r>
          </w:p>
        </w:tc>
        <w:tc>
          <w:tcPr>
            <w:tcW w:type="dxa" w:w="2880"/>
          </w:tcPr>
          <w:p>
            <w:r>
              <w:rPr>
                <w:sz w:val="19"/>
              </w:rPr>
            </w:r>
            <w:r>
              <w:rPr>
                <w:b/>
                <w:sz w:val="19"/>
              </w:rPr>
              <w:t>28 tests</w:t>
            </w:r>
            <w:r>
              <w:rPr>
                <w:sz w:val="19"/>
              </w:rPr>
              <w:t xml:space="preserve"> unitaires passants (</w:t>
            </w:r>
            <w:r>
              <w:rPr>
                <w:rFonts w:ascii="Consolas" w:hAnsi="Consolas"/>
                <w:sz w:val="19"/>
              </w:rPr>
              <w:t>pytest -v</w:t>
            </w:r>
            <w:r>
              <w:rPr>
                <w:sz w:val="19"/>
              </w:rPr>
              <w:t xml:space="preserve"> : </w:t>
            </w:r>
            <w:r>
              <w:rPr>
                <w:rFonts w:ascii="Consolas" w:hAnsi="Consolas"/>
                <w:sz w:val="19"/>
              </w:rPr>
              <w:t>test_assumptions</w:t>
            </w:r>
            <w:r>
              <w:rPr>
                <w:sz w:val="19"/>
              </w:rPr>
              <w:t xml:space="preserve">, </w:t>
            </w:r>
            <w:r>
              <w:rPr>
                <w:rFonts w:ascii="Consolas" w:hAnsi="Consolas"/>
                <w:sz w:val="19"/>
              </w:rPr>
              <w:t>test_dashboard_data</w:t>
            </w:r>
            <w:r>
              <w:rPr>
                <w:sz w:val="19"/>
              </w:rPr>
              <w:t xml:space="preserve">, </w:t>
            </w:r>
            <w:r>
              <w:rPr>
                <w:rFonts w:ascii="Consolas" w:hAnsi="Consolas"/>
                <w:sz w:val="19"/>
              </w:rPr>
              <w:t>test_dataset</w:t>
            </w:r>
            <w:r>
              <w:rPr>
                <w:sz w:val="19"/>
              </w:rPr>
              <w:t xml:space="preserve">, </w:t>
            </w:r>
            <w:r>
              <w:rPr>
                <w:rFonts w:ascii="Consolas" w:hAnsi="Consolas"/>
                <w:sz w:val="19"/>
              </w:rPr>
              <w:t>test_economics</w:t>
            </w:r>
            <w:r>
              <w:rPr>
                <w:sz w:val="19"/>
              </w:rPr>
              <w:t xml:space="preserve">, </w:t>
            </w:r>
            <w:r>
              <w:rPr>
                <w:rFonts w:ascii="Consolas" w:hAnsi="Consolas"/>
                <w:sz w:val="19"/>
              </w:rPr>
              <w:t>test_gisement</w:t>
            </w:r>
            <w:r>
              <w:rPr>
                <w:sz w:val="19"/>
              </w:rPr>
              <w:t xml:space="preserve">, </w:t>
            </w:r>
            <w:r>
              <w:rPr>
                <w:rFonts w:ascii="Consolas" w:hAnsi="Consolas"/>
                <w:sz w:val="19"/>
              </w:rPr>
              <w:t>test_viz</w:t>
            </w:r>
            <w:r>
              <w:rPr>
                <w:sz w:val="19"/>
              </w:rPr>
              <w:t>)</w:t>
            </w:r>
          </w:p>
        </w:tc>
        <w:tc>
          <w:tcPr>
            <w:tcW w:type="dxa" w:w="2880"/>
          </w:tcPr>
          <w:p>
            <w:r>
              <w:rPr>
                <w:sz w:val="19"/>
              </w:rPr>
            </w:r>
            <w:r>
              <w:rPr>
                <w:sz w:val="19"/>
              </w:rPr>
              <w:t>Maintenir 100 % de tests verts à chaque commit ; étendre au fil des ajouts (dashboard, recettage)</w:t>
            </w:r>
          </w:p>
        </w:tc>
      </w:tr>
      <w:tr>
        <w:tc>
          <w:tcPr>
            <w:tcW w:type="dxa" w:w="2880"/>
          </w:tcPr>
          <w:p>
            <w:r>
              <w:rPr>
                <w:sz w:val="19"/>
              </w:rPr>
            </w:r>
            <w:r>
              <w:rPr>
                <w:b/>
                <w:sz w:val="19"/>
              </w:rPr>
              <w:t>Respect du planning</w:t>
            </w:r>
          </w:p>
        </w:tc>
        <w:tc>
          <w:tcPr>
            <w:tcW w:type="dxa" w:w="2880"/>
          </w:tcPr>
          <w:p>
            <w:r>
              <w:rPr>
                <w:sz w:val="19"/>
              </w:rPr>
            </w:r>
            <w:r>
              <w:rPr>
                <w:sz w:val="19"/>
              </w:rPr>
              <w:t>0 jour de retard cumulé à date</w:t>
            </w:r>
          </w:p>
        </w:tc>
        <w:tc>
          <w:tcPr>
            <w:tcW w:type="dxa" w:w="2880"/>
          </w:tcPr>
          <w:p>
            <w:r>
              <w:rPr>
                <w:sz w:val="19"/>
              </w:rPr>
            </w:r>
            <w:r>
              <w:rPr>
                <w:sz w:val="19"/>
              </w:rPr>
              <w:t>≤ 0,5 jour de dérive en fin de semaine</w:t>
            </w:r>
          </w:p>
        </w:tc>
      </w:tr>
      <w:tr>
        <w:tc>
          <w:tcPr>
            <w:tcW w:type="dxa" w:w="2880"/>
          </w:tcPr>
          <w:p>
            <w:r>
              <w:rPr>
                <w:sz w:val="19"/>
              </w:rPr>
            </w:r>
            <w:r>
              <w:rPr>
                <w:b/>
                <w:sz w:val="19"/>
              </w:rPr>
              <w:t>Écart budgétaire (jours-homme)</w:t>
            </w:r>
          </w:p>
        </w:tc>
        <w:tc>
          <w:tcPr>
            <w:tcW w:type="dxa" w:w="2880"/>
          </w:tcPr>
          <w:p>
            <w:r>
              <w:rPr>
                <w:sz w:val="19"/>
              </w:rPr>
            </w:r>
            <w:r>
              <w:rPr>
                <w:sz w:val="19"/>
              </w:rPr>
              <w:t>0 j d'écart prévu/réalisé</w:t>
            </w:r>
          </w:p>
        </w:tc>
        <w:tc>
          <w:tcPr>
            <w:tcW w:type="dxa" w:w="2880"/>
          </w:tcPr>
          <w:p>
            <w:r>
              <w:rPr>
                <w:sz w:val="19"/>
              </w:rPr>
            </w:r>
            <w:r>
              <w:rPr>
                <w:sz w:val="19"/>
              </w:rPr>
              <w:t>Écart &lt; 10 % du budget total (7 j)</w:t>
            </w:r>
          </w:p>
        </w:tc>
      </w:tr>
    </w:tbl>
    <w:p/>
    <w:p>
      <w:r>
        <w:t>Ces indicateurs sont recalculés à chaque point hebdomadaire et affichés en tête du board, pour donner au client une vision synthétique de la santé du projet sans avoir à en lire le détail technique.</w:t>
      </w:r>
    </w:p>
    <w:p/>
    <w:p>
      <w:pPr>
        <w:pStyle w:val="Heading2"/>
      </w:pPr>
      <w:r>
        <w:t>6. Reporting client</w:t>
      </w:r>
    </w:p>
    <w:p>
      <w:r>
        <w:rPr>
          <w:i/>
        </w:rPr>
        <w:t>Critères couverts : (5) outils/modalités de reporting (suite), (10) tableau de bord de suivi complet.</w:t>
      </w:r>
    </w:p>
    <w:p>
      <w:r>
        <w:rPr>
          <w:b/>
        </w:rPr>
        <w:t>Cadence</w:t>
      </w:r>
      <w:r>
        <w:t xml:space="preserve"> — un point hebdomadaire (le format « une semaine » du workshop concentre l'essentiel des échanges en début et fin de semaine : cadrage initial puis restitution), complété par des échanges mail ponctuels pour les décisions bloquantes (ex. validation d'une hypothèse économique).</w:t>
      </w:r>
    </w:p>
    <w:p>
      <w:r>
        <w:rPr>
          <w:b/>
        </w:rPr>
        <w:t>Format</w:t>
      </w:r>
      <w:r>
        <w:t xml:space="preserve"> — compte rendu court (une page, structuré : avancement / risques ouverts / décisions à prendre) accompagné d'une </w:t>
      </w:r>
      <w:r>
        <w:rPr>
          <w:b/>
        </w:rPr>
        <w:t>démonstration live</w:t>
      </w:r>
      <w:r>
        <w:t xml:space="preserve"> : notebook narratif pour l'analyse, puis dashboard Streamlit pour l'exploration interactive des hypothèses. La démo est le format privilégié car il rend tangible, en quelques minutes, ce que ferait un futur module Simeo.</w:t>
      </w:r>
    </w:p>
    <w:p>
      <w:r>
        <w:rPr>
          <w:b/>
        </w:rPr>
        <w:t>Tableau de bord de suivi consolidé</w:t>
      </w:r>
      <w:r>
        <w:t xml:space="preserve"> — le board Kanban (section 3) fait office de tableau de bord de pilotage unique et complet, articulant :</w:t>
      </w:r>
    </w:p>
    <w:p>
      <w:pPr>
        <w:pStyle w:val="ListBullet"/>
      </w:pPr>
      <w:r>
        <w:t xml:space="preserve">les </w:t>
      </w:r>
      <w:r>
        <w:rPr>
          <w:b/>
        </w:rPr>
        <w:t>étapes du projet</w:t>
      </w:r>
      <w:r>
        <w:t xml:space="preserve"> (les cartes, une par lot de travail, alignées sur les sections de la note de cadrage et de la spec technique) ;</w:t>
      </w:r>
    </w:p>
    <w:p>
      <w:pPr>
        <w:pStyle w:val="ListBullet"/>
      </w:pPr>
      <w:r>
        <w:t xml:space="preserve">le </w:t>
      </w:r>
      <w:r>
        <w:rPr>
          <w:b/>
        </w:rPr>
        <w:t>planning</w:t>
      </w:r>
      <w:r>
        <w:t xml:space="preserve"> (échéances portées par chaque carte, cohérentes avec le Gantt de la section 2) ;</w:t>
      </w:r>
    </w:p>
    <w:p>
      <w:pPr>
        <w:pStyle w:val="ListBullet"/>
      </w:pPr>
      <w:r>
        <w:t xml:space="preserve">les </w:t>
      </w:r>
      <w:r>
        <w:rPr>
          <w:b/>
        </w:rPr>
        <w:t>professionnels concernés</w:t>
      </w:r>
      <w:r>
        <w:t xml:space="preserve"> (étiquette de rôle sur chaque carte : réalisatrice pour l'exécution, client Oxand pour la validation des hypothèses métier et réglementaires, référent pédagogique pour le cadrage méthodologique) ;</w:t>
      </w:r>
    </w:p>
    <w:p>
      <w:pPr>
        <w:pStyle w:val="ListBullet"/>
      </w:pPr>
      <w:r>
        <w:t xml:space="preserve">les </w:t>
      </w:r>
      <w:r>
        <w:rPr>
          <w:b/>
        </w:rPr>
        <w:t>risques actifs</w:t>
      </w:r>
      <w:r>
        <w:t xml:space="preserve"> (registre de la section 4, lié en commentaire de carte) et les </w:t>
      </w:r>
      <w:r>
        <w:rPr>
          <w:b/>
        </w:rPr>
        <w:t>KPI</w:t>
      </w:r>
      <w:r>
        <w:t xml:space="preserve"> (section 5, affichés en en-tête de board).</w:t>
      </w:r>
    </w:p>
    <w:p>
      <w:r>
        <w:t>Ce tableau de bord est l'objet central présenté à chaque point hebdomadaire : il permet au client de vérifier en un coup d'œil où en est le projet, sans dépendre d'une lecture technique du code ou des notebooks.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