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4"/>
        </w:rPr>
        <w:t>Dossier technique — Workshop client Oxand</w:t>
      </w:r>
    </w:p>
    <w:p/>
    <w:p>
      <w:pPr>
        <w:pStyle w:val="Heading1"/>
      </w:pPr>
      <w:r>
        <w:t>Dossier technique — Potentiel photovoltaïque tertiaire en France</w:t>
      </w:r>
    </w:p>
    <w:p>
      <w:pPr>
        <w:ind w:left="340"/>
      </w:pPr>
      <w:r>
        <w:rPr>
          <w:i/>
        </w:rPr>
        <w:t xml:space="preserve">Document parapluie compilant l'ensemble des livrables du projet « workshop client » mené pour </w:t>
      </w:r>
      <w:r>
        <w:rPr>
          <w:b/>
          <w:i/>
        </w:rPr>
        <w:t>Oxand</w:t>
      </w:r>
      <w:r>
        <w:rPr>
          <w:i/>
        </w:rPr>
        <w:t xml:space="preserve"> (outil </w:t>
      </w:r>
      <w:r>
        <w:rPr>
          <w:b/>
          <w:i/>
        </w:rPr>
        <w:t>Simeo</w:t>
      </w:r>
      <w:r>
        <w:rPr>
          <w:i/>
        </w:rPr>
        <w:t>), en vue de sa présentation au jury. Il renvoie vers les documents détaillés plutôt que de les dupliquer.</w:t>
      </w:r>
    </w:p>
    <w:p/>
    <w:p>
      <w:pPr>
        <w:pStyle w:val="Heading2"/>
      </w:pPr>
      <w:r>
        <w:t>1. Présentation de la demande client</w:t>
      </w:r>
    </w:p>
    <w:p>
      <w:r>
        <w:rPr>
          <w:b/>
        </w:rPr>
        <w:t>Client</w:t>
      </w:r>
      <w:r>
        <w:t xml:space="preserve"> : Oxand, éditeur de l'outil </w:t>
      </w:r>
      <w:r>
        <w:rPr>
          <w:b/>
        </w:rPr>
        <w:t>Simeo</w:t>
      </w:r>
      <w:r>
        <w:t>, qui évalue les économies énergétiques apportées par les actions de rénovation dans le tertiaire (décret tertiaire, RE2020…). Simeo couvre aujourd'hui l'</w:t>
      </w:r>
      <w:r>
        <w:rPr>
          <w:b/>
        </w:rPr>
        <w:t>efficacité énergétique passive</w:t>
      </w:r>
      <w:r>
        <w:t xml:space="preserve"> (isolation, ventilation, équipements) ; le client souhaite explorer l'ajout d'un futur volet </w:t>
      </w:r>
      <w:r>
        <w:rPr>
          <w:b/>
        </w:rPr>
        <w:t>production locale d'énergie</w:t>
      </w:r>
      <w:r>
        <w:t>, au premier rang duquel le photovoltaïque.</w:t>
      </w:r>
    </w:p>
    <w:p>
      <w:r>
        <w:rPr>
          <w:b/>
        </w:rPr>
        <w:t>Demande</w:t>
      </w:r>
      <w:r>
        <w:t xml:space="preserve"> : un projet exploratoire d'une semaine visant à </w:t>
      </w:r>
      <w:r>
        <w:rPr>
          <w:i/>
        </w:rPr>
        <w:t>caractériser le terrain de jeu</w:t>
      </w:r>
      <w:r>
        <w:t xml:space="preserve"> de ce futur module — sans le construire — en répondant à trois questions pour une toiture tertiaire type :</w:t>
      </w:r>
    </w:p>
    <w:p>
      <w:pPr>
        <w:pStyle w:val="ListNumber"/>
      </w:pPr>
      <w:r>
        <w:t>Combien produit-elle (gisement solaire) ?</w:t>
      </w:r>
    </w:p>
    <w:p>
      <w:pPr>
        <w:pStyle w:val="ListNumber"/>
      </w:pPr>
      <w:r>
        <w:t>Combien coûte-t-elle (CAPEX/OPEX) ?</w:t>
      </w:r>
    </w:p>
    <w:p>
      <w:pPr>
        <w:pStyle w:val="ListNumber"/>
      </w:pPr>
      <w:r>
        <w:t>Est-elle rentable (LCOE, payback, TRI, VAN) ?</w:t>
      </w:r>
    </w:p>
    <w:p>
      <w:r>
        <w:rPr>
          <w:b/>
        </w:rPr>
        <w:t>Périmètre retenu</w:t>
      </w:r>
      <w:r>
        <w:t xml:space="preserve"> : France métropolitaine, toitures tertiaires </w:t>
      </w:r>
      <w:r>
        <w:rPr>
          <w:b/>
        </w:rPr>
        <w:t>9 à 500 kWc</w:t>
      </w:r>
      <w:r>
        <w:t xml:space="preserve">, granularité </w:t>
      </w:r>
      <w:r>
        <w:rPr>
          <w:b/>
        </w:rPr>
        <w:t>départementale</w:t>
      </w:r>
      <w:r>
        <w:t xml:space="preserve"> (≈96 unités), à l'exclusion d'une extension européenne, d'un suivi du parc installé, ou d'une analyse bâtiment par bâtiment (rôle de Simeo, hors périmètre ici).</w:t>
      </w:r>
    </w:p>
    <w:p>
      <w:r>
        <w:t xml:space="preserve">Le rappel complet du contexte réglementaire (décret tertiaire, loi APER, RE2020, REPowerEU), des enjeux économiques et géographiques, du glossaire et des ordres de grandeur indicatifs (Annexe A) figure dans la note de cadrage : </w:t>
      </w:r>
      <w:r>
        <w:rPr>
          <w:b/>
        </w:rPr>
        <w:t>`potentiel-pv-france-note-cadrage.md` (../potentiel-pv-france-note-cadrage.md)</w:t>
      </w:r>
      <w:r>
        <w:t>.</w:t>
      </w:r>
    </w:p>
    <w:p/>
    <w:p>
      <w:pPr>
        <w:pStyle w:val="Heading2"/>
      </w:pPr>
      <w:r>
        <w:t>2. Démarche &amp; architecture technique</w:t>
      </w:r>
    </w:p>
    <w:p>
      <w:pPr>
        <w:pStyle w:val="Heading3"/>
      </w:pPr>
      <w:r>
        <w:t>2.1 Démarche</w:t>
      </w:r>
    </w:p>
    <w:p>
      <w:r>
        <w:t>Le projet suit une logique de pipeline reproductible : collecte des données géographiques et de gisement solaire → consolidation en une table départementale → modèle économique paramétrable → couche de préparation pour la restitution → restitution (notebook narratif + dashboard interactif). Le code est développé en TDD (</w:t>
      </w:r>
      <w:r>
        <w:rPr>
          <w:rFonts w:ascii="Consolas" w:hAnsi="Consolas"/>
          <w:sz w:val="19"/>
        </w:rPr>
        <w:t>tests/</w:t>
      </w:r>
      <w:r>
        <w:t>), avec des hypothèses économiques centralisées et jamais codées en dur dans la logique métier, pour rester auditables et facilement révisables en un seul endroit (</w:t>
      </w:r>
      <w:r>
        <w:rPr>
          <w:rFonts w:ascii="Consolas" w:hAnsi="Consolas"/>
          <w:sz w:val="19"/>
        </w:rPr>
        <w:t>config.py</w:t>
      </w:r>
      <w:r>
        <w:t xml:space="preserve"> / la dataclass </w:t>
      </w:r>
      <w:r>
        <w:rPr>
          <w:rFonts w:ascii="Consolas" w:hAnsi="Consolas"/>
          <w:sz w:val="19"/>
        </w:rPr>
        <w:t>Assumptions</w:t>
      </w:r>
      <w:r>
        <w:t>).</w:t>
      </w:r>
    </w:p>
    <w:p>
      <w:pPr>
        <w:pStyle w:val="Heading3"/>
      </w:pPr>
      <w:r>
        <w:t>2.2 Modules et rôles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sz w:val="19"/>
              </w:rPr>
            </w:r>
            <w:r>
              <w:rPr>
                <w:b/>
                <w:sz w:val="19"/>
              </w:rPr>
              <w:t>Module</w:t>
            </w:r>
          </w:p>
        </w:tc>
        <w:tc>
          <w:tcPr>
            <w:tcW w:type="dxa" w:w="4320"/>
            <w:shd w:val="clear" w:color="auto" w:fill="D9E2F3"/>
          </w:tcPr>
          <w:p>
            <w:r>
              <w:rPr>
                <w:b/>
                <w:sz w:val="19"/>
              </w:rPr>
            </w:r>
            <w:r>
              <w:rPr>
                <w:b/>
                <w:sz w:val="19"/>
              </w:rPr>
              <w:t>Rôle</w:t>
            </w:r>
          </w:p>
        </w:tc>
      </w:tr>
      <w:tr>
        <w:tc>
          <w:tcPr>
            <w:tcW w:type="dxa" w:w="4320"/>
          </w:tcPr>
          <w:p>
            <w:r>
              <w:rPr>
                <w:sz w:val="19"/>
              </w:rPr>
            </w:r>
            <w:r>
              <w:rPr>
                <w:rFonts w:ascii="Consolas" w:hAnsi="Consolas"/>
                <w:sz w:val="19"/>
              </w:rPr>
              <w:t>src/config.py</w:t>
            </w:r>
          </w:p>
        </w:tc>
        <w:tc>
          <w:tcPr>
            <w:tcW w:type="dxa" w:w="4320"/>
          </w:tcPr>
          <w:p>
            <w:r>
              <w:rPr>
                <w:sz w:val="19"/>
              </w:rPr>
            </w:r>
            <w:r>
              <w:rPr>
                <w:sz w:val="19"/>
              </w:rPr>
              <w:t>Source unique des hypothèses par défaut (CAPEX par tranche, OPEX, tarifs S21, taux d'autoconsommation, taux d'actualisation, paramètres PVGIS, URLs des données géographiques, paramètres du fallback synthétique). Aucune valeur en dur ailleurs dans le code.</w:t>
            </w:r>
          </w:p>
        </w:tc>
      </w:tr>
      <w:tr>
        <w:tc>
          <w:tcPr>
            <w:tcW w:type="dxa" w:w="4320"/>
          </w:tcPr>
          <w:p>
            <w:r>
              <w:rPr>
                <w:sz w:val="19"/>
              </w:rPr>
            </w:r>
            <w:r>
              <w:rPr>
                <w:rFonts w:ascii="Consolas" w:hAnsi="Consolas"/>
                <w:sz w:val="19"/>
              </w:rPr>
              <w:t>src/assumptions.py</w:t>
            </w:r>
          </w:p>
        </w:tc>
        <w:tc>
          <w:tcPr>
            <w:tcW w:type="dxa" w:w="4320"/>
          </w:tcPr>
          <w:p>
            <w:r>
              <w:rPr>
                <w:sz w:val="19"/>
              </w:rPr>
            </w:r>
            <w:r>
              <w:rPr>
                <w:sz w:val="19"/>
              </w:rPr>
              <w:t xml:space="preserve">Regroupe les hypothèses de </w:t>
            </w:r>
            <w:r>
              <w:rPr>
                <w:rFonts w:ascii="Consolas" w:hAnsi="Consolas"/>
                <w:sz w:val="19"/>
              </w:rPr>
              <w:t>config.py</w:t>
            </w:r>
            <w:r>
              <w:rPr>
                <w:sz w:val="19"/>
              </w:rPr>
              <w:t xml:space="preserve"> dans une dataclass immuable </w:t>
            </w:r>
            <w:r>
              <w:rPr>
                <w:rFonts w:ascii="Consolas" w:hAnsi="Consolas"/>
                <w:sz w:val="19"/>
              </w:rPr>
              <w:t>Assumptions</w:t>
            </w:r>
            <w:r>
              <w:rPr>
                <w:sz w:val="19"/>
              </w:rPr>
              <w:t>. Permet au dashboard d'injecter des jeux d'hypothèses modifiés (</w:t>
            </w:r>
            <w:r>
              <w:rPr>
                <w:rFonts w:ascii="Consolas" w:hAnsi="Consolas"/>
                <w:sz w:val="19"/>
              </w:rPr>
              <w:t>dataclasses.replace</w:t>
            </w:r>
            <w:r>
              <w:rPr>
                <w:sz w:val="19"/>
              </w:rPr>
              <w:t xml:space="preserve">) sans toucher au code métier ; </w:t>
            </w:r>
            <w:r>
              <w:rPr>
                <w:rFonts w:ascii="Consolas" w:hAnsi="Consolas"/>
                <w:sz w:val="19"/>
              </w:rPr>
              <w:t>Assumptions.default()</w:t>
            </w:r>
            <w:r>
              <w:rPr>
                <w:sz w:val="19"/>
              </w:rPr>
              <w:t xml:space="preserve"> garantit la rétrocompatibilité avec </w:t>
            </w:r>
            <w:r>
              <w:rPr>
                <w:rFonts w:ascii="Consolas" w:hAnsi="Consolas"/>
                <w:sz w:val="19"/>
              </w:rPr>
              <w:t>config.py</w:t>
            </w:r>
            <w:r>
              <w:rPr>
                <w:sz w:val="19"/>
              </w:rPr>
              <w:t>.</w:t>
            </w:r>
          </w:p>
        </w:tc>
      </w:tr>
      <w:tr>
        <w:tc>
          <w:tcPr>
            <w:tcW w:type="dxa" w:w="4320"/>
          </w:tcPr>
          <w:p>
            <w:r>
              <w:rPr>
                <w:sz w:val="19"/>
              </w:rPr>
            </w:r>
            <w:r>
              <w:rPr>
                <w:rFonts w:ascii="Consolas" w:hAnsi="Consolas"/>
                <w:sz w:val="19"/>
              </w:rPr>
              <w:t>src/gisement.py</w:t>
            </w:r>
          </w:p>
        </w:tc>
        <w:tc>
          <w:tcPr>
            <w:tcW w:type="dxa" w:w="4320"/>
          </w:tcPr>
          <w:p>
            <w:r>
              <w:rPr>
                <w:sz w:val="19"/>
              </w:rPr>
            </w:r>
            <w:r>
              <w:rPr>
                <w:sz w:val="19"/>
              </w:rPr>
              <w:t xml:space="preserve">Récupère le gisement solaire réel via l'API </w:t>
            </w:r>
            <w:r>
              <w:rPr>
                <w:b/>
                <w:sz w:val="19"/>
              </w:rPr>
              <w:t>PVGIS</w:t>
            </w:r>
            <w:r>
              <w:rPr>
                <w:sz w:val="19"/>
              </w:rPr>
              <w:t xml:space="preserve"> (JRC, Commission européenne) pour un couple (latitude, longitude) : facteur de production (kWh/kWc/an) et irradiance (kWh/m²/an). Gère un </w:t>
            </w:r>
            <w:r>
              <w:rPr>
                <w:b/>
                <w:sz w:val="19"/>
              </w:rPr>
              <w:t>cache local</w:t>
            </w:r>
            <w:r>
              <w:rPr>
                <w:sz w:val="19"/>
              </w:rPr>
              <w:t xml:space="preserve"> (évite de rappeler l'API) et un </w:t>
            </w:r>
            <w:r>
              <w:rPr>
                <w:b/>
                <w:sz w:val="19"/>
              </w:rPr>
              <w:t>fallback synthétique</w:t>
            </w:r>
            <w:r>
              <w:rPr>
                <w:sz w:val="19"/>
              </w:rPr>
              <w:t xml:space="preserve"> (gradient linéaire Nord–Sud) si PVGIS est indisponible, avec traçabilité de la source (</w:t>
            </w:r>
            <w:r>
              <w:rPr>
                <w:rFonts w:ascii="Consolas" w:hAnsi="Consolas"/>
                <w:sz w:val="19"/>
              </w:rPr>
              <w:t>pvgis</w:t>
            </w:r>
            <w:r>
              <w:rPr>
                <w:sz w:val="19"/>
              </w:rPr>
              <w:t xml:space="preserve"> vs </w:t>
            </w:r>
            <w:r>
              <w:rPr>
                <w:rFonts w:ascii="Consolas" w:hAnsi="Consolas"/>
                <w:sz w:val="19"/>
              </w:rPr>
              <w:t>synthetique</w:t>
            </w:r>
            <w:r>
              <w:rPr>
                <w:sz w:val="19"/>
              </w:rPr>
              <w:t>).</w:t>
            </w:r>
          </w:p>
        </w:tc>
      </w:tr>
      <w:tr>
        <w:tc>
          <w:tcPr>
            <w:tcW w:type="dxa" w:w="4320"/>
          </w:tcPr>
          <w:p>
            <w:r>
              <w:rPr>
                <w:sz w:val="19"/>
              </w:rPr>
            </w:r>
            <w:r>
              <w:rPr>
                <w:rFonts w:ascii="Consolas" w:hAnsi="Consolas"/>
                <w:sz w:val="19"/>
              </w:rPr>
              <w:t>src/dataset.py</w:t>
            </w:r>
          </w:p>
        </w:tc>
        <w:tc>
          <w:tcPr>
            <w:tcW w:type="dxa" w:w="4320"/>
          </w:tcPr>
          <w:p>
            <w:r>
              <w:rPr>
                <w:sz w:val="19"/>
              </w:rPr>
            </w:r>
            <w:r>
              <w:rPr>
                <w:sz w:val="19"/>
              </w:rPr>
              <w:t xml:space="preserve">Pipeline de constitution de la table départementale : téléchargement du GeoJSON officiel des départements, calcul des centroïdes (projection métrique Lambert-93 EPSG:2154 pour un centroïde géométriquement correct, puis reprojection WGS84), appel de </w:t>
            </w:r>
            <w:r>
              <w:rPr>
                <w:rFonts w:ascii="Consolas" w:hAnsi="Consolas"/>
                <w:sz w:val="19"/>
              </w:rPr>
              <w:t>gisement</w:t>
            </w:r>
            <w:r>
              <w:rPr>
                <w:sz w:val="19"/>
              </w:rPr>
              <w:t xml:space="preserve"> pour chaque département, fusion et écriture du CSV consolidé </w:t>
            </w:r>
            <w:r>
              <w:rPr>
                <w:rFonts w:ascii="Consolas" w:hAnsi="Consolas"/>
                <w:sz w:val="19"/>
              </w:rPr>
              <w:t>data/processed/departements_pv.csv</w:t>
            </w:r>
            <w:r>
              <w:rPr>
                <w:sz w:val="19"/>
              </w:rPr>
              <w:t>.</w:t>
            </w:r>
          </w:p>
        </w:tc>
      </w:tr>
      <w:tr>
        <w:tc>
          <w:tcPr>
            <w:tcW w:type="dxa" w:w="4320"/>
          </w:tcPr>
          <w:p>
            <w:r>
              <w:rPr>
                <w:sz w:val="19"/>
              </w:rPr>
            </w:r>
            <w:r>
              <w:rPr>
                <w:rFonts w:ascii="Consolas" w:hAnsi="Consolas"/>
                <w:sz w:val="19"/>
              </w:rPr>
              <w:t>src/economics.py</w:t>
            </w:r>
          </w:p>
        </w:tc>
        <w:tc>
          <w:tcPr>
            <w:tcW w:type="dxa" w:w="4320"/>
          </w:tcPr>
          <w:p>
            <w:r>
              <w:rPr>
                <w:sz w:val="19"/>
              </w:rPr>
            </w:r>
            <w:r>
              <w:rPr>
                <w:sz w:val="19"/>
              </w:rPr>
              <w:t xml:space="preserve">Modèle économique pur (fonctions sans état, paramétrées par un objet </w:t>
            </w:r>
            <w:r>
              <w:rPr>
                <w:rFonts w:ascii="Consolas" w:hAnsi="Consolas"/>
                <w:sz w:val="19"/>
              </w:rPr>
              <w:t>Assumptions</w:t>
            </w:r>
            <w:r>
              <w:rPr>
                <w:sz w:val="19"/>
              </w:rPr>
              <w:t xml:space="preserve"> optionnel) : CAPEX/OPEX par tranche de puissance, prix de valorisation de l'énergie selon le régime (autoconsommation avec vente du surplus / vente totale), flux de trésorerie annuels, VAN, TRI (bissection), LCOE, payback.</w:t>
            </w:r>
          </w:p>
        </w:tc>
      </w:tr>
      <w:tr>
        <w:tc>
          <w:tcPr>
            <w:tcW w:type="dxa" w:w="4320"/>
          </w:tcPr>
          <w:p>
            <w:r>
              <w:rPr>
                <w:sz w:val="19"/>
              </w:rPr>
            </w:r>
            <w:r>
              <w:rPr>
                <w:rFonts w:ascii="Consolas" w:hAnsi="Consolas"/>
                <w:sz w:val="19"/>
              </w:rPr>
              <w:t>src/dashboard_data.py</w:t>
            </w:r>
          </w:p>
        </w:tc>
        <w:tc>
          <w:tcPr>
            <w:tcW w:type="dxa" w:w="4320"/>
          </w:tcPr>
          <w:p>
            <w:r>
              <w:rPr>
                <w:sz w:val="19"/>
              </w:rPr>
            </w:r>
            <w:r>
              <w:rPr>
                <w:sz w:val="19"/>
              </w:rPr>
              <w:t xml:space="preserve">Couche de préparation des données pour la restitution, sans aucune logique d'interface : </w:t>
            </w:r>
            <w:r>
              <w:rPr>
                <w:rFonts w:ascii="Consolas" w:hAnsi="Consolas"/>
                <w:sz w:val="19"/>
              </w:rPr>
              <w:t>compute_indicators</w:t>
            </w:r>
            <w:r>
              <w:rPr>
                <w:sz w:val="19"/>
              </w:rPr>
              <w:t xml:space="preserve"> enrichit la table départementale avec LCOE/payback/TRI/VAN calculés via </w:t>
            </w:r>
            <w:r>
              <w:rPr>
                <w:rFonts w:ascii="Consolas" w:hAnsi="Consolas"/>
                <w:sz w:val="19"/>
              </w:rPr>
              <w:t>economics</w:t>
            </w:r>
            <w:r>
              <w:rPr>
                <w:sz w:val="19"/>
              </w:rPr>
              <w:t xml:space="preserve">, </w:t>
            </w:r>
            <w:r>
              <w:rPr>
                <w:rFonts w:ascii="Consolas" w:hAnsi="Consolas"/>
                <w:sz w:val="19"/>
              </w:rPr>
              <w:t>load_departements</w:t>
            </w:r>
            <w:r>
              <w:rPr>
                <w:sz w:val="19"/>
              </w:rPr>
              <w:t>/</w:t>
            </w:r>
            <w:r>
              <w:rPr>
                <w:rFonts w:ascii="Consolas" w:hAnsi="Consolas"/>
                <w:sz w:val="19"/>
              </w:rPr>
              <w:t>load_geodata</w:t>
            </w:r>
            <w:r>
              <w:rPr>
                <w:sz w:val="19"/>
              </w:rPr>
              <w:t xml:space="preserve"> chargent les tables consolidées. Fonctions pures et testées indépendamment de Streamlit.</w:t>
            </w:r>
          </w:p>
        </w:tc>
      </w:tr>
      <w:tr>
        <w:tc>
          <w:tcPr>
            <w:tcW w:type="dxa" w:w="4320"/>
          </w:tcPr>
          <w:p>
            <w:r>
              <w:rPr>
                <w:sz w:val="19"/>
              </w:rPr>
            </w:r>
            <w:r>
              <w:rPr>
                <w:rFonts w:ascii="Consolas" w:hAnsi="Consolas"/>
                <w:sz w:val="19"/>
              </w:rPr>
              <w:t>src/viz.py</w:t>
            </w:r>
          </w:p>
        </w:tc>
        <w:tc>
          <w:tcPr>
            <w:tcW w:type="dxa" w:w="4320"/>
          </w:tcPr>
          <w:p>
            <w:r>
              <w:rPr>
                <w:sz w:val="19"/>
              </w:rPr>
            </w:r>
            <w:r>
              <w:rPr>
                <w:sz w:val="19"/>
              </w:rPr>
              <w:t xml:space="preserve">Génère les visualisations (cartes choroplèthes départementales, diagrammes en barres simples et groupés) à partir de </w:t>
            </w:r>
            <w:r>
              <w:rPr>
                <w:rFonts w:ascii="Consolas" w:hAnsi="Consolas"/>
                <w:sz w:val="19"/>
              </w:rPr>
              <w:t>matplotlib</w:t>
            </w:r>
            <w:r>
              <w:rPr>
                <w:sz w:val="19"/>
              </w:rPr>
              <w:t>, réutilisées à la fois par le notebook et par le dashboard.</w:t>
            </w:r>
          </w:p>
        </w:tc>
      </w:tr>
      <w:tr>
        <w:tc>
          <w:tcPr>
            <w:tcW w:type="dxa" w:w="4320"/>
          </w:tcPr>
          <w:p>
            <w:r>
              <w:rPr>
                <w:sz w:val="19"/>
              </w:rPr>
            </w:r>
            <w:r>
              <w:rPr>
                <w:rFonts w:ascii="Consolas" w:hAnsi="Consolas"/>
                <w:sz w:val="19"/>
              </w:rPr>
              <w:t>streamlit_app.py</w:t>
            </w:r>
          </w:p>
        </w:tc>
        <w:tc>
          <w:tcPr>
            <w:tcW w:type="dxa" w:w="4320"/>
          </w:tcPr>
          <w:p>
            <w:r>
              <w:rPr>
                <w:sz w:val="19"/>
              </w:rPr>
            </w:r>
            <w:r>
              <w:rPr>
                <w:sz w:val="19"/>
              </w:rPr>
              <w:t xml:space="preserve">Dashboard interactif : réutilise exclusivement </w:t>
            </w:r>
            <w:r>
              <w:rPr>
                <w:rFonts w:ascii="Consolas" w:hAnsi="Consolas"/>
                <w:sz w:val="19"/>
              </w:rPr>
              <w:t>src/</w:t>
            </w:r>
            <w:r>
              <w:rPr>
                <w:sz w:val="19"/>
              </w:rPr>
              <w:t xml:space="preserve"> (aucune logique métier propre), expose les hypothèses modifiables via une barre latérale (régime, puissance, OPEX, prix évité, taux d'autoconsommation, taux d'actualisation, multiplicateur CAPEX) et recalcule en direct les KPI nationaux, la carte choroplèthe, le détail par département et l'analyse de sensibilité.</w:t>
            </w:r>
          </w:p>
        </w:tc>
      </w:tr>
    </w:tbl>
    <w:p/>
    <w:p>
      <w:pPr>
        <w:pStyle w:val="Heading3"/>
      </w:pPr>
      <w:r>
        <w:t>2.3 Flux de données</w:t>
      </w:r>
    </w:p>
    <w:p>
      <w:r>
        <w:rPr>
          <w:i/>
          <w:color w:val="444444"/>
          <w:sz w:val="20"/>
        </w:rPr>
        <w:t>Diagramme (architecture) — rendu visuel dans la version Markdown / l’outil de gestion.</w:t>
      </w:r>
    </w:p>
    <w:p>
      <w:pPr>
        <w:ind w:left="227"/>
        <w:shd w:val="clear" w:color="auto" w:fill="F2F2F2"/>
        <w:pBdr>
          <w:top w:val="single" w:sz="4" w:space="4" w:color="CCCCCC"/>
          <w:left w:val="single" w:sz="4" w:space="4" w:color="CCCCCC"/>
          <w:bottom w:val="single" w:sz="4" w:space="4" w:color="CCCCCC"/>
          <w:right w:val="single" w:sz="4" w:space="4" w:color="CCCCCC"/>
        </w:pBdr>
      </w:pPr>
      <w:r>
        <w:rPr>
          <w:rFonts w:ascii="Consolas" w:hAnsi="Consolas"/>
          <w:sz w:val="18"/>
        </w:rPr>
        <w:t>flowchart LR</w:t>
        <w:br/>
      </w:r>
      <w:r>
        <w:rPr>
          <w:rFonts w:ascii="Consolas" w:hAnsi="Consolas"/>
          <w:sz w:val="18"/>
        </w:rPr>
        <w:t xml:space="preserve">    subgraph Sources["Sources externes"]</w:t>
        <w:br/>
      </w:r>
      <w:r>
        <w:rPr>
          <w:rFonts w:ascii="Consolas" w:hAnsi="Consolas"/>
          <w:sz w:val="18"/>
        </w:rPr>
        <w:t xml:space="preserve">        GEOJSON["GeoJSON officiel\ndépartements (contours)"]</w:t>
        <w:br/>
      </w:r>
      <w:r>
        <w:rPr>
          <w:rFonts w:ascii="Consolas" w:hAnsi="Consolas"/>
          <w:sz w:val="18"/>
        </w:rPr>
        <w:t xml:space="preserve">        PVGIS["API PVGIS (JRC)\ngisement solaire réel"]</w:t>
        <w:br/>
      </w:r>
      <w:r>
        <w:rPr>
          <w:rFonts w:ascii="Consolas" w:hAnsi="Consolas"/>
          <w:sz w:val="18"/>
        </w:rPr>
        <w:t xml:space="preserve">    end</w:t>
        <w:br/>
      </w:r>
      <w:r>
        <w:rPr>
          <w:rFonts w:ascii="Consolas" w:hAnsi="Consolas"/>
          <w:sz w:val="18"/>
        </w:rPr>
        <w:t xml:space="preserve"> </w:t>
        <w:br/>
      </w:r>
      <w:r>
        <w:rPr>
          <w:rFonts w:ascii="Consolas" w:hAnsi="Consolas"/>
          <w:sz w:val="18"/>
        </w:rPr>
        <w:t xml:space="preserve">    subgraph Hypotheses["Hypothèses"]</w:t>
        <w:br/>
      </w:r>
      <w:r>
        <w:rPr>
          <w:rFonts w:ascii="Consolas" w:hAnsi="Consolas"/>
          <w:sz w:val="18"/>
        </w:rPr>
        <w:t xml:space="preserve">        CONFIG["config.py\n(CAPEX, OPEX, tarifs S21,\ntaux autoconso, taux actualisation)"]</w:t>
        <w:br/>
      </w:r>
      <w:r>
        <w:rPr>
          <w:rFonts w:ascii="Consolas" w:hAnsi="Consolas"/>
          <w:sz w:val="18"/>
        </w:rPr>
        <w:t xml:space="preserve">        ASSUMP["assumptions.py\n(dataclass Assumptions,\nmodifiable à chaud)"]</w:t>
        <w:br/>
      </w:r>
      <w:r>
        <w:rPr>
          <w:rFonts w:ascii="Consolas" w:hAnsi="Consolas"/>
          <w:sz w:val="18"/>
        </w:rPr>
        <w:t xml:space="preserve">    end</w:t>
        <w:br/>
      </w:r>
      <w:r>
        <w:rPr>
          <w:rFonts w:ascii="Consolas" w:hAnsi="Consolas"/>
          <w:sz w:val="18"/>
        </w:rPr>
        <w:t xml:space="preserve"> </w:t>
        <w:br/>
      </w:r>
      <w:r>
        <w:rPr>
          <w:rFonts w:ascii="Consolas" w:hAnsi="Consolas"/>
          <w:sz w:val="18"/>
        </w:rPr>
        <w:t xml:space="preserve">    GEOJSON --&gt; DATASET["dataset.py\ncentroïdes Lambert-93\n+ fusion gisement"]</w:t>
        <w:br/>
      </w:r>
      <w:r>
        <w:rPr>
          <w:rFonts w:ascii="Consolas" w:hAnsi="Consolas"/>
          <w:sz w:val="18"/>
        </w:rPr>
        <w:t xml:space="preserve">    PVGIS --&gt; GISEMENT["gisement.py\ncache + fallback\nsynthétique"]</w:t>
        <w:br/>
      </w:r>
      <w:r>
        <w:rPr>
          <w:rFonts w:ascii="Consolas" w:hAnsi="Consolas"/>
          <w:sz w:val="18"/>
        </w:rPr>
        <w:t xml:space="preserve">    GISEMENT --&gt; DATASET</w:t>
        <w:br/>
      </w:r>
      <w:r>
        <w:rPr>
          <w:rFonts w:ascii="Consolas" w:hAnsi="Consolas"/>
          <w:sz w:val="18"/>
        </w:rPr>
        <w:t xml:space="preserve">    DATASET --&gt; CSV["data/processed/\ndepartements_pv.csv\n(1 ligne = 1 département)"]</w:t>
        <w:br/>
      </w:r>
      <w:r>
        <w:rPr>
          <w:rFonts w:ascii="Consolas" w:hAnsi="Consolas"/>
          <w:sz w:val="18"/>
        </w:rPr>
        <w:t xml:space="preserve"> </w:t>
        <w:br/>
      </w:r>
      <w:r>
        <w:rPr>
          <w:rFonts w:ascii="Consolas" w:hAnsi="Consolas"/>
          <w:sz w:val="18"/>
        </w:rPr>
        <w:t xml:space="preserve">    CONFIG --&gt; ASSUMP</w:t>
        <w:br/>
      </w:r>
      <w:r>
        <w:rPr>
          <w:rFonts w:ascii="Consolas" w:hAnsi="Consolas"/>
          <w:sz w:val="18"/>
        </w:rPr>
        <w:t xml:space="preserve">    CSV --&gt; ECO["economics.py\nLCOE / payback / TRI / VAN"]</w:t>
        <w:br/>
      </w:r>
      <w:r>
        <w:rPr>
          <w:rFonts w:ascii="Consolas" w:hAnsi="Consolas"/>
          <w:sz w:val="18"/>
        </w:rPr>
        <w:t xml:space="preserve">    ASSUMP --&gt; ECO</w:t>
        <w:br/>
      </w:r>
      <w:r>
        <w:rPr>
          <w:rFonts w:ascii="Consolas" w:hAnsi="Consolas"/>
          <w:sz w:val="18"/>
        </w:rPr>
        <w:t xml:space="preserve">    ECO --&gt; DD["dashboard_data.py\ncompute_indicators"]</w:t>
        <w:br/>
      </w:r>
      <w:r>
        <w:rPr>
          <w:rFonts w:ascii="Consolas" w:hAnsi="Consolas"/>
          <w:sz w:val="18"/>
        </w:rPr>
        <w:t xml:space="preserve">    CSV --&gt; DD</w:t>
        <w:br/>
      </w:r>
      <w:r>
        <w:rPr>
          <w:rFonts w:ascii="Consolas" w:hAnsi="Consolas"/>
          <w:sz w:val="18"/>
        </w:rPr>
        <w:t xml:space="preserve"> </w:t>
        <w:br/>
      </w:r>
      <w:r>
        <w:rPr>
          <w:rFonts w:ascii="Consolas" w:hAnsi="Consolas"/>
          <w:sz w:val="18"/>
        </w:rPr>
        <w:t xml:space="preserve">    DD --&gt; VIZ["viz.py\ncartes choroplèthes,\ngraphiques"]</w:t>
        <w:br/>
      </w:r>
      <w:r>
        <w:rPr>
          <w:rFonts w:ascii="Consolas" w:hAnsi="Consolas"/>
          <w:sz w:val="18"/>
        </w:rPr>
        <w:t xml:space="preserve">    DD --&gt; NOTEBOOK["notebooks/\nanalyse_pv_france.ipynb"]</w:t>
        <w:br/>
      </w:r>
      <w:r>
        <w:rPr>
          <w:rFonts w:ascii="Consolas" w:hAnsi="Consolas"/>
          <w:sz w:val="18"/>
        </w:rPr>
        <w:t xml:space="preserve">    VIZ --&gt; NOTEBOOK</w:t>
        <w:br/>
      </w:r>
      <w:r>
        <w:rPr>
          <w:rFonts w:ascii="Consolas" w:hAnsi="Consolas"/>
          <w:sz w:val="18"/>
        </w:rPr>
        <w:t xml:space="preserve">    VIZ --&gt; APP["streamlit_app.py\ndashboard interactif"]</w:t>
        <w:br/>
      </w:r>
      <w:r>
        <w:rPr>
          <w:rFonts w:ascii="Consolas" w:hAnsi="Consolas"/>
          <w:sz w:val="18"/>
        </w:rPr>
        <w:t xml:space="preserve">    DD --&gt; APP</w:t>
        <w:br/>
      </w:r>
      <w:r>
        <w:rPr>
          <w:rFonts w:ascii="Consolas" w:hAnsi="Consolas"/>
          <w:sz w:val="18"/>
        </w:rPr>
        <w:t xml:space="preserve">    ASSUMP --&gt; APP</w:t>
      </w:r>
    </w:p>
    <w:p/>
    <w:p>
      <w:r>
        <w:t xml:space="preserve">La règle d'architecture centrale : </w:t>
      </w:r>
      <w:r>
        <w:rPr>
          <w:b/>
        </w:rPr>
        <w:t>les données réelles (PVGIS, GeoJSON) et les hypothèses (config/assumptions) sont strictement séparées</w:t>
      </w:r>
      <w:r>
        <w:t xml:space="preserve"> des indicateurs calculés (</w:t>
      </w:r>
      <w:r>
        <w:rPr>
          <w:rFonts w:ascii="Consolas" w:hAnsi="Consolas"/>
          <w:sz w:val="19"/>
        </w:rPr>
        <w:t>economics.py</w:t>
      </w:r>
      <w:r>
        <w:t xml:space="preserve">), ce qui garantit que toute modification d'hypothèse (via le dashboard ou </w:t>
      </w:r>
      <w:r>
        <w:rPr>
          <w:rFonts w:ascii="Consolas" w:hAnsi="Consolas"/>
          <w:sz w:val="19"/>
        </w:rPr>
        <w:t>config.py</w:t>
      </w:r>
      <w:r>
        <w:t>) se propage de façon cohérente et traçable jusqu'aux résultats affichés.</w:t>
      </w:r>
    </w:p>
    <w:p/>
    <w:p>
      <w:pPr>
        <w:pStyle w:val="Heading2"/>
      </w:pPr>
      <w:r>
        <w:t>3. Sources de données &amp; nature</w:t>
      </w:r>
    </w:p>
    <w:p>
      <w:r>
        <w:t xml:space="preserve">Transparence sur la nature de chaque donnée utilisée (reprise du tableau du </w:t>
      </w:r>
      <w:r>
        <w:rPr>
          <w:rFonts w:ascii="Consolas" w:hAnsi="Consolas"/>
          <w:sz w:val="19"/>
        </w:rPr>
        <w:t>README.md</w:t>
      </w:r>
      <w:r>
        <w:t xml:space="preserve"> (../README.md))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Catégorie</w:t>
            </w:r>
          </w:p>
        </w:tc>
        <w:tc>
          <w:tcPr>
            <w:tcW w:type="dxa" w:w="2880"/>
            <w:shd w:val="clear" w:color="auto" w:fill="D9E2F3"/>
          </w:tcPr>
          <w:p>
            <w:r>
              <w:rPr>
                <w:b/>
                <w:sz w:val="19"/>
              </w:rPr>
            </w:r>
            <w:r>
              <w:rPr>
                <w:b/>
                <w:sz w:val="19"/>
              </w:rPr>
              <w:t>Source</w:t>
            </w:r>
          </w:p>
        </w:tc>
        <w:tc>
          <w:tcPr>
            <w:tcW w:type="dxa" w:w="2880"/>
            <w:shd w:val="clear" w:color="auto" w:fill="D9E2F3"/>
          </w:tcPr>
          <w:p>
            <w:r>
              <w:rPr>
                <w:b/>
                <w:sz w:val="19"/>
              </w:rPr>
            </w:r>
            <w:r>
              <w:rPr>
                <w:b/>
                <w:sz w:val="19"/>
              </w:rPr>
              <w:t>Nature</w:t>
            </w:r>
          </w:p>
        </w:tc>
      </w:tr>
      <w:tr>
        <w:tc>
          <w:tcPr>
            <w:tcW w:type="dxa" w:w="2880"/>
          </w:tcPr>
          <w:p>
            <w:r>
              <w:rPr>
                <w:sz w:val="19"/>
              </w:rPr>
            </w:r>
            <w:r>
              <w:rPr>
                <w:sz w:val="19"/>
              </w:rPr>
              <w:t>Facteur de production, irradiance</w:t>
            </w:r>
          </w:p>
        </w:tc>
        <w:tc>
          <w:tcPr>
            <w:tcW w:type="dxa" w:w="2880"/>
          </w:tcPr>
          <w:p>
            <w:r>
              <w:rPr>
                <w:sz w:val="19"/>
              </w:rPr>
            </w:r>
            <w:r>
              <w:rPr>
                <w:b/>
                <w:sz w:val="19"/>
              </w:rPr>
              <w:t>PVGIS</w:t>
            </w:r>
            <w:r>
              <w:rPr>
                <w:sz w:val="19"/>
              </w:rPr>
              <w:t xml:space="preserve"> (JRC)</w:t>
            </w:r>
          </w:p>
        </w:tc>
        <w:tc>
          <w:tcPr>
            <w:tcW w:type="dxa" w:w="2880"/>
          </w:tcPr>
          <w:p>
            <w:r>
              <w:rPr>
                <w:sz w:val="19"/>
              </w:rPr>
            </w:r>
            <w:r>
              <w:rPr>
                <w:b/>
                <w:sz w:val="19"/>
              </w:rPr>
              <w:t>Récupérée, fiable</w:t>
            </w:r>
          </w:p>
        </w:tc>
      </w:tr>
      <w:tr>
        <w:tc>
          <w:tcPr>
            <w:tcW w:type="dxa" w:w="2880"/>
          </w:tcPr>
          <w:p>
            <w:r>
              <w:rPr>
                <w:sz w:val="19"/>
              </w:rPr>
            </w:r>
            <w:r>
              <w:rPr>
                <w:sz w:val="19"/>
              </w:rPr>
              <w:t>Contours / centroïdes départements</w:t>
            </w:r>
          </w:p>
        </w:tc>
        <w:tc>
          <w:tcPr>
            <w:tcW w:type="dxa" w:w="2880"/>
          </w:tcPr>
          <w:p>
            <w:r>
              <w:rPr>
                <w:sz w:val="19"/>
              </w:rPr>
            </w:r>
            <w:r>
              <w:rPr>
                <w:sz w:val="19"/>
              </w:rPr>
              <w:t>GeoJSON officiel</w:t>
            </w:r>
          </w:p>
        </w:tc>
        <w:tc>
          <w:tcPr>
            <w:tcW w:type="dxa" w:w="2880"/>
          </w:tcPr>
          <w:p>
            <w:r>
              <w:rPr>
                <w:sz w:val="19"/>
              </w:rPr>
            </w:r>
            <w:r>
              <w:rPr>
                <w:b/>
                <w:sz w:val="19"/>
              </w:rPr>
              <w:t>Récupérée, fiable</w:t>
            </w:r>
          </w:p>
        </w:tc>
      </w:tr>
      <w:tr>
        <w:tc>
          <w:tcPr>
            <w:tcW w:type="dxa" w:w="2880"/>
          </w:tcPr>
          <w:p>
            <w:r>
              <w:rPr>
                <w:sz w:val="19"/>
              </w:rPr>
            </w:r>
            <w:r>
              <w:rPr>
                <w:sz w:val="19"/>
              </w:rPr>
              <w:t>CAPEX, OPEX, tarifs S21, taux</w:t>
            </w:r>
          </w:p>
        </w:tc>
        <w:tc>
          <w:tcPr>
            <w:tcW w:type="dxa" w:w="2880"/>
          </w:tcPr>
          <w:p>
            <w:r>
              <w:rPr>
                <w:sz w:val="19"/>
              </w:rPr>
            </w:r>
            <w:r>
              <w:rPr>
                <w:sz w:val="19"/>
              </w:rPr>
              <w:t>Note de cadrage (Annexe A)</w:t>
            </w:r>
          </w:p>
        </w:tc>
        <w:tc>
          <w:tcPr>
            <w:tcW w:type="dxa" w:w="2880"/>
          </w:tcPr>
          <w:p>
            <w:r>
              <w:rPr>
                <w:sz w:val="19"/>
              </w:rPr>
            </w:r>
            <w:r>
              <w:rPr>
                <w:b/>
                <w:sz w:val="19"/>
              </w:rPr>
              <w:t>Hypothèses</w:t>
            </w:r>
            <w:r>
              <w:rPr>
                <w:sz w:val="19"/>
              </w:rPr>
              <w:t xml:space="preserve"> explicites</w:t>
            </w:r>
          </w:p>
        </w:tc>
      </w:tr>
      <w:tr>
        <w:tc>
          <w:tcPr>
            <w:tcW w:type="dxa" w:w="2880"/>
          </w:tcPr>
          <w:p>
            <w:r>
              <w:rPr>
                <w:sz w:val="19"/>
              </w:rPr>
            </w:r>
            <w:r>
              <w:rPr>
                <w:sz w:val="19"/>
              </w:rPr>
              <w:t>LCOE, payback, TRI, VAN</w:t>
            </w:r>
          </w:p>
        </w:tc>
        <w:tc>
          <w:tcPr>
            <w:tcW w:type="dxa" w:w="2880"/>
          </w:tcPr>
          <w:p>
            <w:r>
              <w:rPr>
                <w:sz w:val="19"/>
              </w:rPr>
            </w:r>
            <w:r>
              <w:rPr>
                <w:sz w:val="19"/>
              </w:rPr>
              <w:t xml:space="preserve">Modèle </w:t>
            </w:r>
            <w:r>
              <w:rPr>
                <w:rFonts w:ascii="Consolas" w:hAnsi="Consolas"/>
                <w:sz w:val="19"/>
              </w:rPr>
              <w:t>economics.py</w:t>
            </w:r>
          </w:p>
        </w:tc>
        <w:tc>
          <w:tcPr>
            <w:tcW w:type="dxa" w:w="2880"/>
          </w:tcPr>
          <w:p>
            <w:r>
              <w:rPr>
                <w:sz w:val="19"/>
              </w:rPr>
            </w:r>
            <w:r>
              <w:rPr>
                <w:b/>
                <w:sz w:val="19"/>
              </w:rPr>
              <w:t>Calculées</w:t>
            </w:r>
            <w:r>
              <w:rPr>
                <w:sz w:val="19"/>
              </w:rPr>
              <w:t xml:space="preserve"> (reproductibles)</w:t>
            </w:r>
          </w:p>
        </w:tc>
      </w:tr>
    </w:tbl>
    <w:p/>
    <w:p>
      <w:r>
        <w:t>Cette distinction (réel / hypothèse / calculé) est également le pilier de la gestion du risque « hypothèses économiques datées ou approximatives » documentée dans le document de pilotage (pilotage-projet.md), section 4.</w:t>
      </w:r>
    </w:p>
    <w:p/>
    <w:p>
      <w:pPr>
        <w:pStyle w:val="Heading2"/>
      </w:pPr>
      <w:r>
        <w:t>4. Résultats &amp; analyse</w:t>
      </w:r>
    </w:p>
    <w:p>
      <w:r>
        <w:t xml:space="preserve">L'analyse narrative complète — construction du jeu de données, exploration du gisement, modélisation économique, analyse de sensibilité — est disponible dans le notebook reproductible : </w:t>
      </w:r>
      <w:r>
        <w:rPr>
          <w:b/>
        </w:rPr>
        <w:t>`notebooks/analyse_pv_france.ipynb` (../notebooks/analyse_pv_france.ipynb)</w:t>
      </w:r>
      <w:r>
        <w:t xml:space="preserve"> (généré par </w:t>
      </w:r>
      <w:r>
        <w:rPr>
          <w:rFonts w:ascii="Consolas" w:hAnsi="Consolas"/>
          <w:sz w:val="19"/>
        </w:rPr>
        <w:t>scripts/build_notebook.py</w:t>
      </w:r>
      <w:r>
        <w:t xml:space="preserve">, exécutable via </w:t>
      </w:r>
      <w:r>
        <w:rPr>
          <w:rFonts w:ascii="Consolas" w:hAnsi="Consolas"/>
          <w:sz w:val="19"/>
        </w:rPr>
        <w:t>python -m jupyter nbconvert --to notebook --execute --inplace notebooks/analyse_pv_france.ipynb</w:t>
      </w:r>
      <w:r>
        <w:t>).</w:t>
      </w:r>
    </w:p>
    <w:p>
      <w:r>
        <w:t xml:space="preserve">Quelques chiffres clés qui en ressortent, calculés sur les 96 départements de France métropolitaine à partir des données </w:t>
      </w:r>
      <w:r>
        <w:rPr>
          <w:b/>
        </w:rPr>
        <w:t>PVGIS réelles</w:t>
      </w:r>
      <w:r>
        <w:t xml:space="preserve"> (aucune valeur issue du fallback synthétique dans le jeu de données consolidé actuel) :</w:t>
      </w:r>
    </w:p>
    <w:p>
      <w:pPr>
        <w:pStyle w:val="ListBullet"/>
      </w:pPr>
      <w:r>
        <w:rPr>
          <w:b/>
        </w:rPr>
        <w:t>Facteur de production</w:t>
      </w:r>
      <w:r>
        <w:t xml:space="preserve"> : de </w:t>
      </w:r>
      <w:r>
        <w:rPr>
          <w:b/>
        </w:rPr>
        <w:t>1 029</w:t>
      </w:r>
      <w:r>
        <w:t xml:space="preserve"> à </w:t>
      </w:r>
      <w:r>
        <w:rPr>
          <w:b/>
        </w:rPr>
        <w:t>1 478 kWh/kWc/an</w:t>
      </w:r>
      <w:r>
        <w:t xml:space="preserve"> selon le département — un écart cohérent avec le gradient Nord-Sud attendu (Annexe A de la note de cadrage : ~900 Nord à ~1 500 Sud), confirmé empiriquement par l'appel PVGIS sur chaque centroïde départemental plutôt que supposé.</w:t>
      </w:r>
    </w:p>
    <w:p>
      <w:pPr>
        <w:pStyle w:val="ListBullet"/>
      </w:pPr>
      <w:r>
        <w:rPr>
          <w:b/>
        </w:rPr>
        <w:t>LCOE</w:t>
      </w:r>
      <w:r>
        <w:t xml:space="preserve"> : de l'ordre de </w:t>
      </w:r>
      <w:r>
        <w:rPr>
          <w:b/>
        </w:rPr>
        <w:t>6 à 10 c€/kWh</w:t>
      </w:r>
      <w:r>
        <w:t xml:space="preserve"> pour une installation de référence de 100 kWc, en ligne avec la fourchette indicative de la note de cadrage (Annexe A) et vérifié par le test </w:t>
      </w:r>
      <w:r>
        <w:rPr>
          <w:rFonts w:ascii="Consolas" w:hAnsi="Consolas"/>
          <w:sz w:val="19"/>
        </w:rPr>
        <w:t>test_lcoe_in_plausible_range</w:t>
      </w:r>
      <w:r>
        <w:t>.</w:t>
      </w:r>
    </w:p>
    <w:p>
      <w:pPr>
        <w:pStyle w:val="ListBullet"/>
      </w:pPr>
      <w:r>
        <w:rPr>
          <w:b/>
        </w:rPr>
        <w:t>Payback</w:t>
      </w:r>
      <w:r>
        <w:t xml:space="preserve"> : </w:t>
      </w:r>
      <w:r>
        <w:rPr>
          <w:b/>
        </w:rPr>
        <w:t>8 à 14 ans</w:t>
      </w:r>
      <w:r>
        <w:t xml:space="preserve"> selon le régime de valorisation et le département — les scénarios d'autoconsommation avec vente du surplus (taux par défaut 65 %, sensibilité testée à 40/65/90 %) ressortent significativement plus rentables que la vente totale au tarif S21 (payback 9–15 ans), confirmant le constat de la note de cadrage (§1.2 et §2.2) selon lequel l'autoconsommation est aujourd'hui la valorisation la plus avantageuse pour le tertiaire.</w:t>
      </w:r>
    </w:p>
    <w:p/>
    <w:p>
      <w:pPr>
        <w:pStyle w:val="Heading2"/>
      </w:pPr>
      <w:r>
        <w:t>5. Dashboard</w:t>
      </w:r>
    </w:p>
    <w:p>
      <w:r>
        <w:rPr>
          <w:b/>
        </w:rPr>
        <w:t>Objet</w:t>
      </w:r>
      <w:r>
        <w:t xml:space="preserve"> : dashboard Streamlit permettant à Oxand d'explorer les résultats par département. Les hypothèses économiques sont </w:t>
      </w:r>
      <w:r>
        <w:rPr>
          <w:b/>
        </w:rPr>
        <w:t>fixes</w:t>
      </w:r>
      <w:r>
        <w:t xml:space="preserve"> (celles de la note de cadrage) et affichées pour transparence ; l'utilisateur choisit le </w:t>
      </w:r>
      <w:r>
        <w:rPr>
          <w:b/>
        </w:rPr>
        <w:t>régime de valorisation</w:t>
      </w:r>
      <w:r>
        <w:t xml:space="preserve"> (autoconsommation / vente) et la </w:t>
      </w:r>
      <w:r>
        <w:rPr>
          <w:b/>
        </w:rPr>
        <w:t>puissance</w:t>
      </w:r>
      <w:r>
        <w:t xml:space="preserve"> de l'installation. Le dashboard présente les indicateurs nationaux, une carte choroplèthe, le détail par département avec un </w:t>
      </w:r>
      <w:r>
        <w:rPr>
          <w:b/>
        </w:rPr>
        <w:t>verdict de rentabilité</w:t>
      </w:r>
      <w:r>
        <w:t>, une analyse de sensibilité et l'export des données en CSV.</w:t>
      </w:r>
    </w:p>
    <w:p>
      <w:r>
        <w:rPr>
          <w:b/>
        </w:rPr>
        <w:t>Fonctionnalités</w:t>
      </w:r>
      <w:r>
        <w:t xml:space="preserve"> :</w:t>
      </w:r>
    </w:p>
    <w:p>
      <w:pPr>
        <w:pStyle w:val="ListBullet"/>
      </w:pPr>
      <w:r>
        <w:t>synthèse nationale (LCOE, payback, TRI, VAN moyens) ;</w:t>
      </w:r>
    </w:p>
    <w:p>
      <w:pPr>
        <w:pStyle w:val="ListBullet"/>
      </w:pPr>
      <w:r>
        <w:t>carte choroplèthe départementale sur l'indicateur choisi (facteur de production, LCOE, payback, TRI) ;</w:t>
      </w:r>
    </w:p>
    <w:p>
      <w:pPr>
        <w:pStyle w:val="ListBullet"/>
      </w:pPr>
      <w:r>
        <w:t>détail par département avec courbe de cash-flow cumulé ;</w:t>
      </w:r>
    </w:p>
    <w:p>
      <w:pPr>
        <w:pStyle w:val="ListBullet"/>
      </w:pPr>
      <w:r>
        <w:t>analyse de sensibilité au taux d'autoconsommation (40/65/90 %) ;</w:t>
      </w:r>
    </w:p>
    <w:p>
      <w:pPr>
        <w:pStyle w:val="ListBullet"/>
      </w:pPr>
      <w:r>
        <w:t>export des données enrichies au format CSV.</w:t>
      </w:r>
    </w:p>
    <w:p>
      <w:r>
        <w:rPr>
          <w:b/>
        </w:rPr>
        <w:t>Exécution locale</w:t>
      </w:r>
      <w:r>
        <w:t xml:space="preserve"> :</w:t>
      </w:r>
    </w:p>
    <w:p>
      <w:pPr>
        <w:ind w:left="227"/>
        <w:shd w:val="clear" w:color="auto" w:fill="F2F2F2"/>
        <w:pBdr>
          <w:top w:val="single" w:sz="4" w:space="4" w:color="CCCCCC"/>
          <w:left w:val="single" w:sz="4" w:space="4" w:color="CCCCCC"/>
          <w:bottom w:val="single" w:sz="4" w:space="4" w:color="CCCCCC"/>
          <w:right w:val="single" w:sz="4" w:space="4" w:color="CCCCCC"/>
        </w:pBdr>
      </w:pPr>
      <w:r>
        <w:rPr>
          <w:rFonts w:ascii="Consolas" w:hAnsi="Consolas"/>
          <w:sz w:val="18"/>
        </w:rPr>
        <w:t>python -m streamlit run streamlit_app.py</w:t>
      </w:r>
    </w:p>
    <w:p/>
    <w:p>
      <w:r>
        <w:rPr>
          <w:b/>
        </w:rPr>
        <w:t>En ligne</w:t>
      </w:r>
      <w:r>
        <w:t xml:space="preserve"> : &lt;https://imeneee01-workshop-client-3-streamlit-app-kzifeo.streamlit.app/&gt; (déployé sur Streamlit Community Cloud).</w:t>
      </w:r>
    </w:p>
    <w:p>
      <w:r>
        <w:t>_(captures d'écran à insérer)_</w:t>
      </w:r>
    </w:p>
    <w:p/>
    <w:p>
      <w:pPr>
        <w:pStyle w:val="Heading2"/>
      </w:pPr>
      <w:r>
        <w:t>6. Recettage formalisé</w:t>
      </w:r>
    </w:p>
    <w:p>
      <w:r>
        <w:rPr>
          <w:b/>
        </w:rPr>
        <w:t>Synthèse de l'exécution réelle</w:t>
      </w:r>
      <w:r>
        <w:t xml:space="preserve"> (commande </w:t>
      </w:r>
      <w:r>
        <w:rPr>
          <w:rFonts w:ascii="Consolas" w:hAnsi="Consolas"/>
          <w:sz w:val="19"/>
        </w:rPr>
        <w:t>python -m pytest -v</w:t>
      </w:r>
      <w:r>
        <w:t>, exécutée le 02/07/2026) :</w:t>
      </w:r>
    </w:p>
    <w:p>
      <w:pPr>
        <w:ind w:left="227"/>
        <w:shd w:val="clear" w:color="auto" w:fill="F2F2F2"/>
        <w:pBdr>
          <w:top w:val="single" w:sz="4" w:space="4" w:color="CCCCCC"/>
          <w:left w:val="single" w:sz="4" w:space="4" w:color="CCCCCC"/>
          <w:bottom w:val="single" w:sz="4" w:space="4" w:color="CCCCCC"/>
          <w:right w:val="single" w:sz="4" w:space="4" w:color="CCCCCC"/>
        </w:pBdr>
      </w:pPr>
      <w:r>
        <w:rPr>
          <w:rFonts w:ascii="Consolas" w:hAnsi="Consolas"/>
          <w:sz w:val="18"/>
        </w:rPr>
        <w:t>$ python -m pytest -v</w:t>
        <w:br/>
      </w:r>
      <w:r>
        <w:rPr>
          <w:rFonts w:ascii="Consolas" w:hAnsi="Consolas"/>
          <w:sz w:val="18"/>
        </w:rPr>
        <w:t>...</w:t>
        <w:br/>
      </w:r>
      <w:r>
        <w:rPr>
          <w:rFonts w:ascii="Consolas" w:hAnsi="Consolas"/>
          <w:sz w:val="18"/>
        </w:rPr>
        <w:t>tests/test_assumptions.py ...        (3)</w:t>
        <w:br/>
      </w:r>
      <w:r>
        <w:rPr>
          <w:rFonts w:ascii="Consolas" w:hAnsi="Consolas"/>
          <w:sz w:val="18"/>
        </w:rPr>
        <w:t>tests/test_dashboard_data.py ...     (3)</w:t>
        <w:br/>
      </w:r>
      <w:r>
        <w:rPr>
          <w:rFonts w:ascii="Consolas" w:hAnsi="Consolas"/>
          <w:sz w:val="18"/>
        </w:rPr>
        <w:t>tests/test_dataset.py .              (1)</w:t>
        <w:br/>
      </w:r>
      <w:r>
        <w:rPr>
          <w:rFonts w:ascii="Consolas" w:hAnsi="Consolas"/>
          <w:sz w:val="18"/>
        </w:rPr>
        <w:t>tests/test_economics.py ............ (16)</w:t>
        <w:br/>
      </w:r>
      <w:r>
        <w:rPr>
          <w:rFonts w:ascii="Consolas" w:hAnsi="Consolas"/>
          <w:sz w:val="18"/>
        </w:rPr>
        <w:t>tests/test_gisement.py ...           (3)</w:t>
        <w:br/>
      </w:r>
      <w:r>
        <w:rPr>
          <w:rFonts w:ascii="Consolas" w:hAnsi="Consolas"/>
          <w:sz w:val="18"/>
        </w:rPr>
        <w:t>tests/test_viz.py ..                 (2)</w:t>
        <w:br/>
      </w:r>
      <w:r>
        <w:rPr>
          <w:rFonts w:ascii="Consolas" w:hAnsi="Consolas"/>
          <w:sz w:val="18"/>
        </w:rPr>
        <w:t>======================= 28 passed, 2 warnings in 6.36s =======================</w:t>
      </w:r>
    </w:p>
    <w:p/>
    <w:p>
      <w:r>
        <w:rPr>
          <w:b/>
        </w:rPr>
        <w:t>28 tests, tous passants</w:t>
      </w:r>
      <w:r>
        <w:t xml:space="preserve"> (0 échec). Les 2 avertissements (</w:t>
      </w:r>
      <w:r>
        <w:rPr>
          <w:rFonts w:ascii="Consolas" w:hAnsi="Consolas"/>
          <w:sz w:val="19"/>
        </w:rPr>
        <w:t>DeprecationWarning</w:t>
      </w:r>
      <w:r>
        <w:t xml:space="preserve"> dans </w:t>
      </w:r>
      <w:r>
        <w:rPr>
          <w:rFonts w:ascii="Consolas" w:hAnsi="Consolas"/>
          <w:sz w:val="19"/>
        </w:rPr>
        <w:t>pyproj</w:t>
      </w:r>
      <w:r>
        <w:t>, lors de la conversion tableau→scalaire sur le calcul de centroïde) sont sans incidence fonctionnelle et proviennent d'une dépendance tierce, pas du code du projet.</w:t>
      </w:r>
    </w:p>
    <w:p>
      <w:pPr>
        <w:pStyle w:val="Heading3"/>
      </w:pPr>
      <w:r>
        <w:t>Plan de test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Cas testé</w:t>
            </w:r>
          </w:p>
        </w:tc>
        <w:tc>
          <w:tcPr>
            <w:tcW w:type="dxa" w:w="2880"/>
            <w:shd w:val="clear" w:color="auto" w:fill="D9E2F3"/>
          </w:tcPr>
          <w:p>
            <w:r>
              <w:rPr>
                <w:b/>
                <w:sz w:val="19"/>
              </w:rPr>
            </w:r>
            <w:r>
              <w:rPr>
                <w:b/>
                <w:sz w:val="19"/>
              </w:rPr>
              <w:t>Attendu</w:t>
            </w:r>
          </w:p>
        </w:tc>
        <w:tc>
          <w:tcPr>
            <w:tcW w:type="dxa" w:w="2880"/>
            <w:shd w:val="clear" w:color="auto" w:fill="D9E2F3"/>
          </w:tcPr>
          <w:p>
            <w:r>
              <w:rPr>
                <w:b/>
                <w:sz w:val="19"/>
              </w:rPr>
            </w:r>
            <w:r>
              <w:rPr>
                <w:b/>
                <w:sz w:val="19"/>
              </w:rPr>
              <w:t>Résultat</w:t>
            </w:r>
          </w:p>
        </w:tc>
      </w:tr>
      <w:tr>
        <w:tc>
          <w:tcPr>
            <w:tcW w:type="dxa" w:w="2880"/>
          </w:tcPr>
          <w:p>
            <w:r>
              <w:rPr>
                <w:sz w:val="19"/>
              </w:rPr>
            </w:r>
            <w:r>
              <w:rPr>
                <w:rFonts w:ascii="Consolas" w:hAnsi="Consolas"/>
                <w:sz w:val="19"/>
              </w:rPr>
              <w:t>Assumptions.default()</w:t>
            </w:r>
            <w:r>
              <w:rPr>
                <w:sz w:val="19"/>
              </w:rPr>
              <w:t xml:space="preserve"> reflète </w:t>
            </w:r>
            <w:r>
              <w:rPr>
                <w:rFonts w:ascii="Consolas" w:hAnsi="Consolas"/>
                <w:sz w:val="19"/>
              </w:rPr>
              <w:t>config.py</w:t>
            </w:r>
            <w:r>
              <w:rPr>
                <w:sz w:val="19"/>
              </w:rPr>
              <w:t xml:space="preserve"> (taux d'actualisation, durée de vie, OPEX, prix autoconso, taux autoconso)</w:t>
            </w:r>
          </w:p>
        </w:tc>
        <w:tc>
          <w:tcPr>
            <w:tcW w:type="dxa" w:w="2880"/>
          </w:tcPr>
          <w:p>
            <w:r>
              <w:rPr>
                <w:sz w:val="19"/>
              </w:rPr>
            </w:r>
            <w:r>
              <w:rPr>
                <w:sz w:val="19"/>
              </w:rPr>
              <w:t xml:space="preserve">Les valeurs par défaut de la dataclass correspondent exactement aux constantes de </w:t>
            </w:r>
            <w:r>
              <w:rPr>
                <w:rFonts w:ascii="Consolas" w:hAnsi="Consolas"/>
                <w:sz w:val="19"/>
              </w:rPr>
              <w:t>config.py</w:t>
            </w:r>
          </w:p>
        </w:tc>
        <w:tc>
          <w:tcPr>
            <w:tcW w:type="dxa" w:w="2880"/>
          </w:tcPr>
          <w:p>
            <w:r>
              <w:rPr>
                <w:sz w:val="19"/>
              </w:rPr>
            </w:r>
            <w:r>
              <w:rPr>
                <w:b/>
                <w:sz w:val="19"/>
              </w:rPr>
              <w:t>Passé</w:t>
            </w:r>
          </w:p>
        </w:tc>
      </w:tr>
      <w:tr>
        <w:tc>
          <w:tcPr>
            <w:tcW w:type="dxa" w:w="2880"/>
          </w:tcPr>
          <w:p>
            <w:r>
              <w:rPr>
                <w:sz w:val="19"/>
              </w:rPr>
            </w:r>
            <w:r>
              <w:rPr>
                <w:sz w:val="19"/>
              </w:rPr>
              <w:t xml:space="preserve">Tranches CAPEX / tarifs de vente copiées en tuple dans </w:t>
            </w:r>
            <w:r>
              <w:rPr>
                <w:rFonts w:ascii="Consolas" w:hAnsi="Consolas"/>
                <w:sz w:val="19"/>
              </w:rPr>
              <w:t>Assumptions</w:t>
            </w:r>
          </w:p>
        </w:tc>
        <w:tc>
          <w:tcPr>
            <w:tcW w:type="dxa" w:w="2880"/>
          </w:tcPr>
          <w:p>
            <w:r>
              <w:rPr>
                <w:sz w:val="19"/>
              </w:rPr>
            </w:r>
            <w:r>
              <w:rPr>
                <w:rFonts w:ascii="Consolas" w:hAnsi="Consolas"/>
                <w:sz w:val="19"/>
              </w:rPr>
              <w:t>capex_brackets</w:t>
            </w:r>
            <w:r>
              <w:rPr>
                <w:sz w:val="19"/>
              </w:rPr>
              <w:t xml:space="preserve"> et </w:t>
            </w:r>
            <w:r>
              <w:rPr>
                <w:rFonts w:ascii="Consolas" w:hAnsi="Consolas"/>
                <w:sz w:val="19"/>
              </w:rPr>
              <w:t>vente_tariffs</w:t>
            </w:r>
            <w:r>
              <w:rPr>
                <w:sz w:val="19"/>
              </w:rPr>
              <w:t xml:space="preserve"> identiques (en tuple) à </w:t>
            </w:r>
            <w:r>
              <w:rPr>
                <w:rFonts w:ascii="Consolas" w:hAnsi="Consolas"/>
                <w:sz w:val="19"/>
              </w:rPr>
              <w:t>config.CAPEX_BRACKETS</w:t>
            </w:r>
            <w:r>
              <w:rPr>
                <w:sz w:val="19"/>
              </w:rPr>
              <w:t xml:space="preserve"> / </w:t>
            </w:r>
            <w:r>
              <w:rPr>
                <w:rFonts w:ascii="Consolas" w:hAnsi="Consolas"/>
                <w:sz w:val="19"/>
              </w:rPr>
              <w:t>config.VENTE_TARIFFS</w:t>
            </w:r>
          </w:p>
        </w:tc>
        <w:tc>
          <w:tcPr>
            <w:tcW w:type="dxa" w:w="2880"/>
          </w:tcPr>
          <w:p>
            <w:r>
              <w:rPr>
                <w:sz w:val="19"/>
              </w:rPr>
            </w:r>
            <w:r>
              <w:rPr>
                <w:b/>
                <w:sz w:val="19"/>
              </w:rPr>
              <w:t>Passé</w:t>
            </w:r>
          </w:p>
        </w:tc>
      </w:tr>
      <w:tr>
        <w:tc>
          <w:tcPr>
            <w:tcW w:type="dxa" w:w="2880"/>
          </w:tcPr>
          <w:p>
            <w:r>
              <w:rPr>
                <w:sz w:val="19"/>
              </w:rPr>
            </w:r>
            <w:r>
              <w:rPr>
                <w:sz w:val="19"/>
              </w:rPr>
              <w:t xml:space="preserve">Immutabilité de </w:t>
            </w:r>
            <w:r>
              <w:rPr>
                <w:rFonts w:ascii="Consolas" w:hAnsi="Consolas"/>
                <w:sz w:val="19"/>
              </w:rPr>
              <w:t>Assumptions</w:t>
            </w:r>
          </w:p>
        </w:tc>
        <w:tc>
          <w:tcPr>
            <w:tcW w:type="dxa" w:w="2880"/>
          </w:tcPr>
          <w:p>
            <w:r>
              <w:rPr>
                <w:sz w:val="19"/>
              </w:rPr>
            </w:r>
            <w:r>
              <w:rPr>
                <w:sz w:val="19"/>
              </w:rPr>
              <w:t xml:space="preserve">Toute tentative de modification d'un champ lève une exception (dataclass </w:t>
            </w:r>
            <w:r>
              <w:rPr>
                <w:rFonts w:ascii="Consolas" w:hAnsi="Consolas"/>
                <w:sz w:val="19"/>
              </w:rPr>
              <w:t>frozen=True</w:t>
            </w:r>
            <w:r>
              <w:rPr>
                <w:sz w:val="19"/>
              </w:rPr>
              <w:t>)</w:t>
            </w:r>
          </w:p>
        </w:tc>
        <w:tc>
          <w:tcPr>
            <w:tcW w:type="dxa" w:w="2880"/>
          </w:tcPr>
          <w:p>
            <w:r>
              <w:rPr>
                <w:sz w:val="19"/>
              </w:rPr>
            </w:r>
            <w:r>
              <w:rPr>
                <w:b/>
                <w:sz w:val="19"/>
              </w:rPr>
              <w:t>Passé</w:t>
            </w:r>
          </w:p>
        </w:tc>
      </w:tr>
      <w:tr>
        <w:tc>
          <w:tcPr>
            <w:tcW w:type="dxa" w:w="2880"/>
          </w:tcPr>
          <w:p>
            <w:r>
              <w:rPr>
                <w:sz w:val="19"/>
              </w:rPr>
            </w:r>
            <w:r>
              <w:rPr>
                <w:rFonts w:ascii="Consolas" w:hAnsi="Consolas"/>
                <w:sz w:val="19"/>
              </w:rPr>
              <w:t>compute_indicators</w:t>
            </w:r>
            <w:r>
              <w:rPr>
                <w:sz w:val="19"/>
              </w:rPr>
              <w:t xml:space="preserve"> ajoute les colonnes d'indicateurs</w:t>
            </w:r>
          </w:p>
        </w:tc>
        <w:tc>
          <w:tcPr>
            <w:tcW w:type="dxa" w:w="2880"/>
          </w:tcPr>
          <w:p>
            <w:r>
              <w:rPr>
                <w:sz w:val="19"/>
              </w:rPr>
            </w:r>
            <w:r>
              <w:rPr>
                <w:sz w:val="19"/>
              </w:rPr>
              <w:t xml:space="preserve">Colonnes </w:t>
            </w:r>
            <w:r>
              <w:rPr>
                <w:rFonts w:ascii="Consolas" w:hAnsi="Consolas"/>
                <w:sz w:val="19"/>
              </w:rPr>
              <w:t>lcoe</w:t>
            </w:r>
            <w:r>
              <w:rPr>
                <w:sz w:val="19"/>
              </w:rPr>
              <w:t xml:space="preserve">, </w:t>
            </w:r>
            <w:r>
              <w:rPr>
                <w:rFonts w:ascii="Consolas" w:hAnsi="Consolas"/>
                <w:sz w:val="19"/>
              </w:rPr>
              <w:t>payback</w:t>
            </w:r>
            <w:r>
              <w:rPr>
                <w:sz w:val="19"/>
              </w:rPr>
              <w:t xml:space="preserve">, </w:t>
            </w:r>
            <w:r>
              <w:rPr>
                <w:rFonts w:ascii="Consolas" w:hAnsi="Consolas"/>
                <w:sz w:val="19"/>
              </w:rPr>
              <w:t>tri</w:t>
            </w:r>
            <w:r>
              <w:rPr>
                <w:sz w:val="19"/>
              </w:rPr>
              <w:t xml:space="preserve">, </w:t>
            </w:r>
            <w:r>
              <w:rPr>
                <w:rFonts w:ascii="Consolas" w:hAnsi="Consolas"/>
                <w:sz w:val="19"/>
              </w:rPr>
              <w:t>van</w:t>
            </w:r>
            <w:r>
              <w:rPr>
                <w:sz w:val="19"/>
              </w:rPr>
              <w:t xml:space="preserve"> présentes, même nombre de lignes en sortie</w:t>
            </w:r>
          </w:p>
        </w:tc>
        <w:tc>
          <w:tcPr>
            <w:tcW w:type="dxa" w:w="2880"/>
          </w:tcPr>
          <w:p>
            <w:r>
              <w:rPr>
                <w:sz w:val="19"/>
              </w:rPr>
            </w:r>
            <w:r>
              <w:rPr>
                <w:b/>
                <w:sz w:val="19"/>
              </w:rPr>
              <w:t>Passé</w:t>
            </w:r>
          </w:p>
        </w:tc>
      </w:tr>
      <w:tr>
        <w:tc>
          <w:tcPr>
            <w:tcW w:type="dxa" w:w="2880"/>
          </w:tcPr>
          <w:p>
            <w:r>
              <w:rPr>
                <w:sz w:val="19"/>
              </w:rPr>
            </w:r>
            <w:r>
              <w:rPr>
                <w:sz w:val="19"/>
              </w:rPr>
              <w:t>Un meilleur gisement donne une VAN plus élevée</w:t>
            </w:r>
          </w:p>
        </w:tc>
        <w:tc>
          <w:tcPr>
            <w:tcW w:type="dxa" w:w="2880"/>
          </w:tcPr>
          <w:p>
            <w:r>
              <w:rPr>
                <w:sz w:val="19"/>
              </w:rPr>
            </w:r>
            <w:r>
              <w:rPr>
                <w:sz w:val="19"/>
              </w:rPr>
              <w:t>Département au facteur de production plus élevé (06 vs 01) → VAN supérieure</w:t>
            </w:r>
          </w:p>
        </w:tc>
        <w:tc>
          <w:tcPr>
            <w:tcW w:type="dxa" w:w="2880"/>
          </w:tcPr>
          <w:p>
            <w:r>
              <w:rPr>
                <w:sz w:val="19"/>
              </w:rPr>
            </w:r>
            <w:r>
              <w:rPr>
                <w:b/>
                <w:sz w:val="19"/>
              </w:rPr>
              <w:t>Passé</w:t>
            </w:r>
          </w:p>
        </w:tc>
      </w:tr>
      <w:tr>
        <w:tc>
          <w:tcPr>
            <w:tcW w:type="dxa" w:w="2880"/>
          </w:tcPr>
          <w:p>
            <w:r>
              <w:rPr>
                <w:sz w:val="19"/>
              </w:rPr>
            </w:r>
            <w:r>
              <w:rPr>
                <w:sz w:val="19"/>
              </w:rPr>
              <w:t>Un CAPEX plus élevé augmente le LCOE</w:t>
            </w:r>
          </w:p>
        </w:tc>
        <w:tc>
          <w:tcPr>
            <w:tcW w:type="dxa" w:w="2880"/>
          </w:tcPr>
          <w:p>
            <w:r>
              <w:rPr>
                <w:sz w:val="19"/>
              </w:rPr>
            </w:r>
            <w:r>
              <w:rPr>
                <w:sz w:val="19"/>
              </w:rPr>
              <w:t>Jeu d'hypothèses avec CAPEX renchéri (3000 €/kWc) → LCOE moyen supérieur au cas de base</w:t>
            </w:r>
          </w:p>
        </w:tc>
        <w:tc>
          <w:tcPr>
            <w:tcW w:type="dxa" w:w="2880"/>
          </w:tcPr>
          <w:p>
            <w:r>
              <w:rPr>
                <w:sz w:val="19"/>
              </w:rPr>
            </w:r>
            <w:r>
              <w:rPr>
                <w:b/>
                <w:sz w:val="19"/>
              </w:rPr>
              <w:t>Passé</w:t>
            </w:r>
          </w:p>
        </w:tc>
      </w:tr>
      <w:tr>
        <w:tc>
          <w:tcPr>
            <w:tcW w:type="dxa" w:w="2880"/>
          </w:tcPr>
          <w:p>
            <w:r>
              <w:rPr>
                <w:sz w:val="19"/>
              </w:rPr>
            </w:r>
            <w:r>
              <w:rPr>
                <w:sz w:val="19"/>
              </w:rPr>
              <w:t>Calcul des centroïdes départementaux</w:t>
            </w:r>
          </w:p>
        </w:tc>
        <w:tc>
          <w:tcPr>
            <w:tcW w:type="dxa" w:w="2880"/>
          </w:tcPr>
          <w:p>
            <w:r>
              <w:rPr>
                <w:sz w:val="19"/>
              </w:rPr>
            </w:r>
            <w:r>
              <w:rPr>
                <w:sz w:val="19"/>
              </w:rPr>
              <w:t>Centroïde d'un polygone test (calculé en Lambert-93 EPSG:2154 puis reprojeté WGS84) proche du centre attendu (lat/lon) à 0,01° près</w:t>
            </w:r>
          </w:p>
        </w:tc>
        <w:tc>
          <w:tcPr>
            <w:tcW w:type="dxa" w:w="2880"/>
          </w:tcPr>
          <w:p>
            <w:r>
              <w:rPr>
                <w:sz w:val="19"/>
              </w:rPr>
            </w:r>
            <w:r>
              <w:rPr>
                <w:b/>
                <w:sz w:val="19"/>
              </w:rPr>
              <w:t>Passé</w:t>
            </w:r>
          </w:p>
        </w:tc>
      </w:tr>
      <w:tr>
        <w:tc>
          <w:tcPr>
            <w:tcW w:type="dxa" w:w="2880"/>
          </w:tcPr>
          <w:p>
            <w:r>
              <w:rPr>
                <w:sz w:val="19"/>
              </w:rPr>
            </w:r>
            <w:r>
              <w:rPr>
                <w:sz w:val="19"/>
              </w:rPr>
              <w:t>CAPEX unitaire par tranche de puissance</w:t>
            </w:r>
          </w:p>
        </w:tc>
        <w:tc>
          <w:tcPr>
            <w:tcW w:type="dxa" w:w="2880"/>
          </w:tcPr>
          <w:p>
            <w:r>
              <w:rPr>
                <w:sz w:val="19"/>
              </w:rPr>
            </w:r>
            <w:r>
              <w:rPr>
                <w:sz w:val="19"/>
              </w:rPr>
              <w:t>20 kWc → 1850 €/kWc ; 50 kWc → 1400 €/kWc ; 300 kWc → 1100 €/kWc (bornes des tranches respectées)</w:t>
            </w:r>
          </w:p>
        </w:tc>
        <w:tc>
          <w:tcPr>
            <w:tcW w:type="dxa" w:w="2880"/>
          </w:tcPr>
          <w:p>
            <w:r>
              <w:rPr>
                <w:sz w:val="19"/>
              </w:rPr>
            </w:r>
            <w:r>
              <w:rPr>
                <w:b/>
                <w:sz w:val="19"/>
              </w:rPr>
              <w:t>Passé</w:t>
            </w:r>
          </w:p>
        </w:tc>
      </w:tr>
      <w:tr>
        <w:tc>
          <w:tcPr>
            <w:tcW w:type="dxa" w:w="2880"/>
          </w:tcPr>
          <w:p>
            <w:r>
              <w:rPr>
                <w:sz w:val="19"/>
              </w:rPr>
            </w:r>
            <w:r>
              <w:rPr>
                <w:sz w:val="19"/>
              </w:rPr>
              <w:t>CAPEX total</w:t>
            </w:r>
          </w:p>
        </w:tc>
        <w:tc>
          <w:tcPr>
            <w:tcW w:type="dxa" w:w="2880"/>
          </w:tcPr>
          <w:p>
            <w:r>
              <w:rPr>
                <w:sz w:val="19"/>
              </w:rPr>
            </w:r>
            <w:r>
              <w:rPr>
                <w:sz w:val="19"/>
              </w:rPr>
              <w:t>100 kWc (tranche 100-500) → 100 × 1100 €</w:t>
            </w:r>
          </w:p>
        </w:tc>
        <w:tc>
          <w:tcPr>
            <w:tcW w:type="dxa" w:w="2880"/>
          </w:tcPr>
          <w:p>
            <w:r>
              <w:rPr>
                <w:sz w:val="19"/>
              </w:rPr>
            </w:r>
            <w:r>
              <w:rPr>
                <w:b/>
                <w:sz w:val="19"/>
              </w:rPr>
              <w:t>Passé</w:t>
            </w:r>
          </w:p>
        </w:tc>
      </w:tr>
      <w:tr>
        <w:tc>
          <w:tcPr>
            <w:tcW w:type="dxa" w:w="2880"/>
          </w:tcPr>
          <w:p>
            <w:r>
              <w:rPr>
                <w:sz w:val="19"/>
              </w:rPr>
            </w:r>
            <w:r>
              <w:rPr>
                <w:sz w:val="19"/>
              </w:rPr>
              <w:t>Tarif de vente S21 par tranche</w:t>
            </w:r>
          </w:p>
        </w:tc>
        <w:tc>
          <w:tcPr>
            <w:tcW w:type="dxa" w:w="2880"/>
          </w:tcPr>
          <w:p>
            <w:r>
              <w:rPr>
                <w:sz w:val="19"/>
              </w:rPr>
            </w:r>
            <w:r>
              <w:rPr>
                <w:sz w:val="19"/>
              </w:rPr>
              <w:t>50 kWc → 0,10 €/kWh ; 300 kWc → 0,08 €/kWh</w:t>
            </w:r>
          </w:p>
        </w:tc>
        <w:tc>
          <w:tcPr>
            <w:tcW w:type="dxa" w:w="2880"/>
          </w:tcPr>
          <w:p>
            <w:r>
              <w:rPr>
                <w:sz w:val="19"/>
              </w:rPr>
            </w:r>
            <w:r>
              <w:rPr>
                <w:b/>
                <w:sz w:val="19"/>
              </w:rPr>
              <w:t>Passé</w:t>
            </w:r>
          </w:p>
        </w:tc>
      </w:tr>
      <w:tr>
        <w:tc>
          <w:tcPr>
            <w:tcW w:type="dxa" w:w="2880"/>
          </w:tcPr>
          <w:p>
            <w:r>
              <w:rPr>
                <w:sz w:val="19"/>
              </w:rPr>
            </w:r>
            <w:r>
              <w:rPr>
                <w:sz w:val="19"/>
              </w:rPr>
              <w:t>Dégradation annuelle de la production</w:t>
            </w:r>
          </w:p>
        </w:tc>
        <w:tc>
          <w:tcPr>
            <w:tcW w:type="dxa" w:w="2880"/>
          </w:tcPr>
          <w:p>
            <w:r>
              <w:rPr>
                <w:sz w:val="19"/>
              </w:rPr>
            </w:r>
            <w:r>
              <w:rPr>
                <w:sz w:val="19"/>
              </w:rPr>
              <w:t>Production année 1 = référence exacte ; année 2 strictement inférieure (dégradation 0,5 %/an)</w:t>
            </w:r>
          </w:p>
        </w:tc>
        <w:tc>
          <w:tcPr>
            <w:tcW w:type="dxa" w:w="2880"/>
          </w:tcPr>
          <w:p>
            <w:r>
              <w:rPr>
                <w:sz w:val="19"/>
              </w:rPr>
            </w:r>
            <w:r>
              <w:rPr>
                <w:b/>
                <w:sz w:val="19"/>
              </w:rPr>
              <w:t>Passé</w:t>
            </w:r>
          </w:p>
        </w:tc>
      </w:tr>
      <w:tr>
        <w:tc>
          <w:tcPr>
            <w:tcW w:type="dxa" w:w="2880"/>
          </w:tcPr>
          <w:p>
            <w:r>
              <w:rPr>
                <w:sz w:val="19"/>
              </w:rPr>
            </w:r>
            <w:r>
              <w:rPr>
                <w:sz w:val="19"/>
              </w:rPr>
              <w:t>VAN à taux zéro = somme des flux</w:t>
            </w:r>
          </w:p>
        </w:tc>
        <w:tc>
          <w:tcPr>
            <w:tcW w:type="dxa" w:w="2880"/>
          </w:tcPr>
          <w:p>
            <w:r>
              <w:rPr>
                <w:sz w:val="19"/>
              </w:rPr>
            </w:r>
            <w:r>
              <w:rPr>
                <w:sz w:val="19"/>
              </w:rPr>
              <w:t>VAN(0 %) égale la somme brute des cash-flows (à 1e-9 près)</w:t>
            </w:r>
          </w:p>
        </w:tc>
        <w:tc>
          <w:tcPr>
            <w:tcW w:type="dxa" w:w="2880"/>
          </w:tcPr>
          <w:p>
            <w:r>
              <w:rPr>
                <w:sz w:val="19"/>
              </w:rPr>
            </w:r>
            <w:r>
              <w:rPr>
                <w:b/>
                <w:sz w:val="19"/>
              </w:rPr>
              <w:t>Passé</w:t>
            </w:r>
          </w:p>
        </w:tc>
      </w:tr>
      <w:tr>
        <w:tc>
          <w:tcPr>
            <w:tcW w:type="dxa" w:w="2880"/>
          </w:tcPr>
          <w:p>
            <w:r>
              <w:rPr>
                <w:sz w:val="19"/>
              </w:rPr>
            </w:r>
            <w:r>
              <w:rPr>
                <w:sz w:val="19"/>
              </w:rPr>
              <w:t>VAN actualise correctement les flux futurs</w:t>
            </w:r>
          </w:p>
        </w:tc>
        <w:tc>
          <w:tcPr>
            <w:tcW w:type="dxa" w:w="2880"/>
          </w:tcPr>
          <w:p>
            <w:r>
              <w:rPr>
                <w:sz w:val="19"/>
              </w:rPr>
            </w:r>
            <w:r>
              <w:rPr>
                <w:sz w:val="19"/>
              </w:rPr>
              <w:t>Flux de 110 € à l'année 1 actualisé à 10 % → VAN nulle pour un investissement de 100 €</w:t>
            </w:r>
          </w:p>
        </w:tc>
        <w:tc>
          <w:tcPr>
            <w:tcW w:type="dxa" w:w="2880"/>
          </w:tcPr>
          <w:p>
            <w:r>
              <w:rPr>
                <w:sz w:val="19"/>
              </w:rPr>
            </w:r>
            <w:r>
              <w:rPr>
                <w:b/>
                <w:sz w:val="19"/>
              </w:rPr>
              <w:t>Passé</w:t>
            </w:r>
          </w:p>
        </w:tc>
      </w:tr>
      <w:tr>
        <w:tc>
          <w:tcPr>
            <w:tcW w:type="dxa" w:w="2880"/>
          </w:tcPr>
          <w:p>
            <w:r>
              <w:rPr>
                <w:sz w:val="19"/>
              </w:rPr>
            </w:r>
            <w:r>
              <w:rPr>
                <w:sz w:val="19"/>
              </w:rPr>
              <w:t>TRI retrouve un taux connu</w:t>
            </w:r>
          </w:p>
        </w:tc>
        <w:tc>
          <w:tcPr>
            <w:tcW w:type="dxa" w:w="2880"/>
          </w:tcPr>
          <w:p>
            <w:r>
              <w:rPr>
                <w:sz w:val="19"/>
              </w:rPr>
            </w:r>
            <w:r>
              <w:rPr>
                <w:sz w:val="19"/>
              </w:rPr>
              <w:t xml:space="preserve">Cash-flows construits pour un TRI de 10 % → </w:t>
            </w:r>
            <w:r>
              <w:rPr>
                <w:rFonts w:ascii="Consolas" w:hAnsi="Consolas"/>
                <w:sz w:val="19"/>
              </w:rPr>
              <w:t>irr()</w:t>
            </w:r>
            <w:r>
              <w:rPr>
                <w:sz w:val="19"/>
              </w:rPr>
              <w:t xml:space="preserve"> restitue 10 % à 1e-4 près (bissection)</w:t>
            </w:r>
          </w:p>
        </w:tc>
        <w:tc>
          <w:tcPr>
            <w:tcW w:type="dxa" w:w="2880"/>
          </w:tcPr>
          <w:p>
            <w:r>
              <w:rPr>
                <w:sz w:val="19"/>
              </w:rPr>
            </w:r>
            <w:r>
              <w:rPr>
                <w:b/>
                <w:sz w:val="19"/>
              </w:rPr>
              <w:t>Passé</w:t>
            </w:r>
          </w:p>
        </w:tc>
      </w:tr>
      <w:tr>
        <w:tc>
          <w:tcPr>
            <w:tcW w:type="dxa" w:w="2880"/>
          </w:tcPr>
          <w:p>
            <w:r>
              <w:rPr>
                <w:sz w:val="19"/>
              </w:rPr>
            </w:r>
            <w:r>
              <w:rPr>
                <w:sz w:val="19"/>
              </w:rPr>
              <w:t>Structure des flux de trésorerie</w:t>
            </w:r>
          </w:p>
        </w:tc>
        <w:tc>
          <w:tcPr>
            <w:tcW w:type="dxa" w:w="2880"/>
          </w:tcPr>
          <w:p>
            <w:r>
              <w:rPr>
                <w:sz w:val="19"/>
              </w:rPr>
            </w:r>
            <w:r>
              <w:rPr>
                <w:sz w:val="19"/>
              </w:rPr>
              <w:t xml:space="preserve">Longueur = </w:t>
            </w:r>
            <w:r>
              <w:rPr>
                <w:rFonts w:ascii="Consolas" w:hAnsi="Consolas"/>
                <w:sz w:val="19"/>
              </w:rPr>
              <w:t>PROJECT_YEARS</w:t>
            </w:r>
            <w:r>
              <w:rPr>
                <w:sz w:val="19"/>
              </w:rPr>
              <w:t xml:space="preserve"> + 1 ; année 0 négative (investissement) ; année 1 positive (revenu net)</w:t>
            </w:r>
          </w:p>
        </w:tc>
        <w:tc>
          <w:tcPr>
            <w:tcW w:type="dxa" w:w="2880"/>
          </w:tcPr>
          <w:p>
            <w:r>
              <w:rPr>
                <w:sz w:val="19"/>
              </w:rPr>
            </w:r>
            <w:r>
              <w:rPr>
                <w:b/>
                <w:sz w:val="19"/>
              </w:rPr>
              <w:t>Passé</w:t>
            </w:r>
          </w:p>
        </w:tc>
      </w:tr>
      <w:tr>
        <w:tc>
          <w:tcPr>
            <w:tcW w:type="dxa" w:w="2880"/>
          </w:tcPr>
          <w:p>
            <w:r>
              <w:rPr>
                <w:sz w:val="19"/>
              </w:rPr>
            </w:r>
            <w:r>
              <w:rPr>
                <w:sz w:val="19"/>
              </w:rPr>
              <w:t>Remplacement onduleur impacte le cash-flow</w:t>
            </w:r>
          </w:p>
        </w:tc>
        <w:tc>
          <w:tcPr>
            <w:tcW w:type="dxa" w:w="2880"/>
          </w:tcPr>
          <w:p>
            <w:r>
              <w:rPr>
                <w:sz w:val="19"/>
              </w:rPr>
            </w:r>
            <w:r>
              <w:rPr>
                <w:sz w:val="19"/>
              </w:rPr>
              <w:t>Flux de l'année de remplacement (année 12) strictement inférieur à l'année précédente</w:t>
            </w:r>
          </w:p>
        </w:tc>
        <w:tc>
          <w:tcPr>
            <w:tcW w:type="dxa" w:w="2880"/>
          </w:tcPr>
          <w:p>
            <w:r>
              <w:rPr>
                <w:sz w:val="19"/>
              </w:rPr>
            </w:r>
            <w:r>
              <w:rPr>
                <w:b/>
                <w:sz w:val="19"/>
              </w:rPr>
              <w:t>Passé</w:t>
            </w:r>
          </w:p>
        </w:tc>
      </w:tr>
      <w:tr>
        <w:tc>
          <w:tcPr>
            <w:tcW w:type="dxa" w:w="2880"/>
          </w:tcPr>
          <w:p>
            <w:r>
              <w:rPr>
                <w:sz w:val="19"/>
              </w:rPr>
            </w:r>
            <w:r>
              <w:rPr>
                <w:sz w:val="19"/>
              </w:rPr>
              <w:t>LCOE dans une fourchette plausible</w:t>
            </w:r>
          </w:p>
        </w:tc>
        <w:tc>
          <w:tcPr>
            <w:tcW w:type="dxa" w:w="2880"/>
          </w:tcPr>
          <w:p>
            <w:r>
              <w:rPr>
                <w:sz w:val="19"/>
              </w:rPr>
            </w:r>
            <w:r>
              <w:rPr>
                <w:sz w:val="19"/>
              </w:rPr>
              <w:t>Pour 100 kWc / facteur 1100 kWh/kWc/an : LCOE entre 4 et 12 c€/kWh (cohérent Annexe A)</w:t>
            </w:r>
          </w:p>
        </w:tc>
        <w:tc>
          <w:tcPr>
            <w:tcW w:type="dxa" w:w="2880"/>
          </w:tcPr>
          <w:p>
            <w:r>
              <w:rPr>
                <w:sz w:val="19"/>
              </w:rPr>
            </w:r>
            <w:r>
              <w:rPr>
                <w:b/>
                <w:sz w:val="19"/>
              </w:rPr>
              <w:t>Passé</w:t>
            </w:r>
          </w:p>
        </w:tc>
      </w:tr>
      <w:tr>
        <w:tc>
          <w:tcPr>
            <w:tcW w:type="dxa" w:w="2880"/>
          </w:tcPr>
          <w:p>
            <w:r>
              <w:rPr>
                <w:sz w:val="19"/>
              </w:rPr>
            </w:r>
            <w:r>
              <w:rPr>
                <w:sz w:val="19"/>
              </w:rPr>
              <w:t>Un meilleur gisement améliore le TRI</w:t>
            </w:r>
          </w:p>
        </w:tc>
        <w:tc>
          <w:tcPr>
            <w:tcW w:type="dxa" w:w="2880"/>
          </w:tcPr>
          <w:p>
            <w:r>
              <w:rPr>
                <w:sz w:val="19"/>
              </w:rPr>
            </w:r>
            <w:r>
              <w:rPr>
                <w:sz w:val="19"/>
              </w:rPr>
              <w:t>Facteur de production 1500 (Sud) → TRI supérieur à facteur 900 (Nord)</w:t>
            </w:r>
          </w:p>
        </w:tc>
        <w:tc>
          <w:tcPr>
            <w:tcW w:type="dxa" w:w="2880"/>
          </w:tcPr>
          <w:p>
            <w:r>
              <w:rPr>
                <w:sz w:val="19"/>
              </w:rPr>
            </w:r>
            <w:r>
              <w:rPr>
                <w:b/>
                <w:sz w:val="19"/>
              </w:rPr>
              <w:t>Passé</w:t>
            </w:r>
          </w:p>
        </w:tc>
      </w:tr>
      <w:tr>
        <w:tc>
          <w:tcPr>
            <w:tcW w:type="dxa" w:w="2880"/>
          </w:tcPr>
          <w:p>
            <w:r>
              <w:rPr>
                <w:sz w:val="19"/>
              </w:rPr>
            </w:r>
            <w:r>
              <w:rPr>
                <w:sz w:val="19"/>
              </w:rPr>
              <w:t>Le payback tombe dans l'horizon du projet</w:t>
            </w:r>
          </w:p>
        </w:tc>
        <w:tc>
          <w:tcPr>
            <w:tcW w:type="dxa" w:w="2880"/>
          </w:tcPr>
          <w:p>
            <w:r>
              <w:rPr>
                <w:sz w:val="19"/>
              </w:rPr>
            </w:r>
            <w:r>
              <w:rPr>
                <w:sz w:val="19"/>
              </w:rPr>
              <w:t xml:space="preserve">Pour un cas favorable (facteur 1300), payback compris entre 1 et </w:t>
            </w:r>
            <w:r>
              <w:rPr>
                <w:rFonts w:ascii="Consolas" w:hAnsi="Consolas"/>
                <w:sz w:val="19"/>
              </w:rPr>
              <w:t>PROJECT_YEARS</w:t>
            </w:r>
          </w:p>
        </w:tc>
        <w:tc>
          <w:tcPr>
            <w:tcW w:type="dxa" w:w="2880"/>
          </w:tcPr>
          <w:p>
            <w:r>
              <w:rPr>
                <w:sz w:val="19"/>
              </w:rPr>
            </w:r>
            <w:r>
              <w:rPr>
                <w:b/>
                <w:sz w:val="19"/>
              </w:rPr>
              <w:t>Passé</w:t>
            </w:r>
          </w:p>
        </w:tc>
      </w:tr>
      <w:tr>
        <w:tc>
          <w:tcPr>
            <w:tcW w:type="dxa" w:w="2880"/>
          </w:tcPr>
          <w:p>
            <w:r>
              <w:rPr>
                <w:sz w:val="19"/>
              </w:rPr>
            </w:r>
            <w:r>
              <w:rPr>
                <w:sz w:val="19"/>
              </w:rPr>
              <w:t>Le prix autoconsommation est une moyenne pondérée</w:t>
            </w:r>
          </w:p>
        </w:tc>
        <w:tc>
          <w:tcPr>
            <w:tcW w:type="dxa" w:w="2880"/>
          </w:tcPr>
          <w:p>
            <w:r>
              <w:rPr>
                <w:sz w:val="19"/>
              </w:rPr>
            </w:r>
            <w:r>
              <w:rPr>
                <w:sz w:val="19"/>
              </w:rPr>
              <w:t>Prix compris strictement entre le tarif de vente S21 et le prix évité plein (</w:t>
            </w:r>
            <w:r>
              <w:rPr>
                <w:rFonts w:ascii="Consolas" w:hAnsi="Consolas"/>
                <w:sz w:val="19"/>
              </w:rPr>
              <w:t>AUTOCONSO_PRICE</w:t>
            </w:r>
            <w:r>
              <w:rPr>
                <w:sz w:val="19"/>
              </w:rPr>
              <w:t>)</w:t>
            </w:r>
          </w:p>
        </w:tc>
        <w:tc>
          <w:tcPr>
            <w:tcW w:type="dxa" w:w="2880"/>
          </w:tcPr>
          <w:p>
            <w:r>
              <w:rPr>
                <w:sz w:val="19"/>
              </w:rPr>
            </w:r>
            <w:r>
              <w:rPr>
                <w:b/>
                <w:sz w:val="19"/>
              </w:rPr>
              <w:t>Passé</w:t>
            </w:r>
          </w:p>
        </w:tc>
      </w:tr>
      <w:tr>
        <w:tc>
          <w:tcPr>
            <w:tcW w:type="dxa" w:w="2880"/>
          </w:tcPr>
          <w:p>
            <w:r>
              <w:rPr>
                <w:sz w:val="19"/>
              </w:rPr>
            </w:r>
            <w:r>
              <w:rPr>
                <w:sz w:val="19"/>
              </w:rPr>
              <w:t>Un taux d'autoconsommation plus élevé augmente le prix moyen</w:t>
            </w:r>
          </w:p>
        </w:tc>
        <w:tc>
          <w:tcPr>
            <w:tcW w:type="dxa" w:w="2880"/>
          </w:tcPr>
          <w:p>
            <w:r>
              <w:rPr>
                <w:sz w:val="19"/>
              </w:rPr>
            </w:r>
            <w:r>
              <w:rPr>
                <w:sz w:val="19"/>
              </w:rPr>
              <w:t>Prix à 90 % d'autoconso &gt; prix à 40 %</w:t>
            </w:r>
          </w:p>
        </w:tc>
        <w:tc>
          <w:tcPr>
            <w:tcW w:type="dxa" w:w="2880"/>
          </w:tcPr>
          <w:p>
            <w:r>
              <w:rPr>
                <w:sz w:val="19"/>
              </w:rPr>
            </w:r>
            <w:r>
              <w:rPr>
                <w:b/>
                <w:sz w:val="19"/>
              </w:rPr>
              <w:t>Passé</w:t>
            </w:r>
          </w:p>
        </w:tc>
      </w:tr>
      <w:tr>
        <w:tc>
          <w:tcPr>
            <w:tcW w:type="dxa" w:w="2880"/>
          </w:tcPr>
          <w:p>
            <w:r>
              <w:rPr>
                <w:sz w:val="19"/>
              </w:rPr>
            </w:r>
            <w:r>
              <w:rPr>
                <w:rFonts w:ascii="Consolas" w:hAnsi="Consolas"/>
                <w:sz w:val="19"/>
              </w:rPr>
              <w:t>Assumptions.default()</w:t>
            </w:r>
            <w:r>
              <w:rPr>
                <w:sz w:val="19"/>
              </w:rPr>
              <w:t xml:space="preserve"> reproduit exactement le comportement historique (sans objet </w:t>
            </w:r>
            <w:r>
              <w:rPr>
                <w:rFonts w:ascii="Consolas" w:hAnsi="Consolas"/>
                <w:sz w:val="19"/>
              </w:rPr>
              <w:t>a</w:t>
            </w:r>
            <w:r>
              <w:rPr>
                <w:sz w:val="19"/>
              </w:rPr>
              <w:t>)</w:t>
            </w:r>
          </w:p>
        </w:tc>
        <w:tc>
          <w:tcPr>
            <w:tcW w:type="dxa" w:w="2880"/>
          </w:tcPr>
          <w:p>
            <w:r>
              <w:rPr>
                <w:sz w:val="19"/>
              </w:rPr>
            </w:r>
            <w:r>
              <w:rPr>
                <w:rFonts w:ascii="Consolas" w:hAnsi="Consolas"/>
                <w:sz w:val="19"/>
              </w:rPr>
              <w:t>capex_per_kwc</w:t>
            </w:r>
            <w:r>
              <w:rPr>
                <w:sz w:val="19"/>
              </w:rPr>
              <w:t xml:space="preserve"> et </w:t>
            </w:r>
            <w:r>
              <w:rPr>
                <w:rFonts w:ascii="Consolas" w:hAnsi="Consolas"/>
                <w:sz w:val="19"/>
              </w:rPr>
              <w:t>lcoe</w:t>
            </w:r>
            <w:r>
              <w:rPr>
                <w:sz w:val="19"/>
              </w:rPr>
              <w:t xml:space="preserve"> donnent le même résultat avec ou sans </w:t>
            </w:r>
            <w:r>
              <w:rPr>
                <w:rFonts w:ascii="Consolas" w:hAnsi="Consolas"/>
                <w:sz w:val="19"/>
              </w:rPr>
              <w:t>a=Assumptions.default()</w:t>
            </w:r>
            <w:r>
              <w:rPr>
                <w:sz w:val="19"/>
              </w:rPr>
              <w:t xml:space="preserve"> explicite</w:t>
            </w:r>
          </w:p>
        </w:tc>
        <w:tc>
          <w:tcPr>
            <w:tcW w:type="dxa" w:w="2880"/>
          </w:tcPr>
          <w:p>
            <w:r>
              <w:rPr>
                <w:sz w:val="19"/>
              </w:rPr>
            </w:r>
            <w:r>
              <w:rPr>
                <w:b/>
                <w:sz w:val="19"/>
              </w:rPr>
              <w:t>Passé</w:t>
            </w:r>
          </w:p>
        </w:tc>
      </w:tr>
      <w:tr>
        <w:tc>
          <w:tcPr>
            <w:tcW w:type="dxa" w:w="2880"/>
          </w:tcPr>
          <w:p>
            <w:r>
              <w:rPr>
                <w:sz w:val="19"/>
              </w:rPr>
            </w:r>
            <w:r>
              <w:rPr>
                <w:sz w:val="19"/>
              </w:rPr>
              <w:t>Un CAPEX personnalisé modifie le payback</w:t>
            </w:r>
          </w:p>
        </w:tc>
        <w:tc>
          <w:tcPr>
            <w:tcW w:type="dxa" w:w="2880"/>
          </w:tcPr>
          <w:p>
            <w:r>
              <w:rPr>
                <w:sz w:val="19"/>
              </w:rPr>
            </w:r>
            <w:r>
              <w:rPr>
                <w:sz w:val="19"/>
              </w:rPr>
              <w:t>Jeu d'hypothèses CAPEX renchéri → payback strictement supérieur au cas de base</w:t>
            </w:r>
          </w:p>
        </w:tc>
        <w:tc>
          <w:tcPr>
            <w:tcW w:type="dxa" w:w="2880"/>
          </w:tcPr>
          <w:p>
            <w:r>
              <w:rPr>
                <w:sz w:val="19"/>
              </w:rPr>
            </w:r>
            <w:r>
              <w:rPr>
                <w:b/>
                <w:sz w:val="19"/>
              </w:rPr>
              <w:t>Passé</w:t>
            </w:r>
          </w:p>
        </w:tc>
      </w:tr>
      <w:tr>
        <w:tc>
          <w:tcPr>
            <w:tcW w:type="dxa" w:w="2880"/>
          </w:tcPr>
          <w:p>
            <w:r>
              <w:rPr>
                <w:sz w:val="19"/>
              </w:rPr>
            </w:r>
            <w:r>
              <w:rPr>
                <w:sz w:val="19"/>
              </w:rPr>
              <w:t>Fallback synthétique : Sud plus ensoleillé que Nord</w:t>
            </w:r>
          </w:p>
        </w:tc>
        <w:tc>
          <w:tcPr>
            <w:tcW w:type="dxa" w:w="2880"/>
          </w:tcPr>
          <w:p>
            <w:r>
              <w:rPr>
                <w:sz w:val="19"/>
              </w:rPr>
            </w:r>
            <w:r>
              <w:rPr>
                <w:rFonts w:ascii="Consolas" w:hAnsi="Consolas"/>
                <w:sz w:val="19"/>
              </w:rPr>
              <w:t>fallback_facteur(lat_sud) &gt; fallback_facteur(lat_nord)</w:t>
            </w:r>
          </w:p>
        </w:tc>
        <w:tc>
          <w:tcPr>
            <w:tcW w:type="dxa" w:w="2880"/>
          </w:tcPr>
          <w:p>
            <w:r>
              <w:rPr>
                <w:sz w:val="19"/>
              </w:rPr>
            </w:r>
            <w:r>
              <w:rPr>
                <w:b/>
                <w:sz w:val="19"/>
              </w:rPr>
              <w:t>Passé</w:t>
            </w:r>
          </w:p>
        </w:tc>
      </w:tr>
      <w:tr>
        <w:tc>
          <w:tcPr>
            <w:tcW w:type="dxa" w:w="2880"/>
          </w:tcPr>
          <w:p>
            <w:r>
              <w:rPr>
                <w:sz w:val="19"/>
              </w:rPr>
            </w:r>
            <w:r>
              <w:rPr>
                <w:sz w:val="19"/>
              </w:rPr>
              <w:t>Fallback synthétique : valeurs aux bornes</w:t>
            </w:r>
          </w:p>
        </w:tc>
        <w:tc>
          <w:tcPr>
            <w:tcW w:type="dxa" w:w="2880"/>
          </w:tcPr>
          <w:p>
            <w:r>
              <w:rPr>
                <w:sz w:val="19"/>
              </w:rPr>
            </w:r>
            <w:r>
              <w:rPr>
                <w:sz w:val="19"/>
              </w:rPr>
              <w:t xml:space="preserve">Aux latitudes de référence Sud/Nord, le facteur retourné correspond aux constantes </w:t>
            </w:r>
            <w:r>
              <w:rPr>
                <w:rFonts w:ascii="Consolas" w:hAnsi="Consolas"/>
                <w:sz w:val="19"/>
              </w:rPr>
              <w:t>FALLBACK_FACTEUR_SOUTH</w:t>
            </w:r>
            <w:r>
              <w:rPr>
                <w:sz w:val="19"/>
              </w:rPr>
              <w:t>/</w:t>
            </w:r>
            <w:r>
              <w:rPr>
                <w:rFonts w:ascii="Consolas" w:hAnsi="Consolas"/>
                <w:sz w:val="19"/>
              </w:rPr>
              <w:t>NORTH</w:t>
            </w:r>
            <w:r>
              <w:rPr>
                <w:sz w:val="19"/>
              </w:rPr>
              <w:t xml:space="preserve"> à 1 kWh près</w:t>
            </w:r>
          </w:p>
        </w:tc>
        <w:tc>
          <w:tcPr>
            <w:tcW w:type="dxa" w:w="2880"/>
          </w:tcPr>
          <w:p>
            <w:r>
              <w:rPr>
                <w:sz w:val="19"/>
              </w:rPr>
            </w:r>
            <w:r>
              <w:rPr>
                <w:b/>
                <w:sz w:val="19"/>
              </w:rPr>
              <w:t>Passé</w:t>
            </w:r>
          </w:p>
        </w:tc>
      </w:tr>
      <w:tr>
        <w:tc>
          <w:tcPr>
            <w:tcW w:type="dxa" w:w="2880"/>
          </w:tcPr>
          <w:p>
            <w:r>
              <w:rPr>
                <w:sz w:val="19"/>
              </w:rPr>
            </w:r>
            <w:r>
              <w:rPr>
                <w:sz w:val="19"/>
              </w:rPr>
              <w:t>Fallback synthétique : valeur intermédiaire cohérente</w:t>
            </w:r>
          </w:p>
        </w:tc>
        <w:tc>
          <w:tcPr>
            <w:tcW w:type="dxa" w:w="2880"/>
          </w:tcPr>
          <w:p>
            <w:r>
              <w:rPr>
                <w:sz w:val="19"/>
              </w:rPr>
            </w:r>
            <w:r>
              <w:rPr>
                <w:sz w:val="19"/>
              </w:rPr>
              <w:t>Au centre de la France (lat 46°), facteur strictement compris entre les bornes Nord et Sud</w:t>
            </w:r>
          </w:p>
        </w:tc>
        <w:tc>
          <w:tcPr>
            <w:tcW w:type="dxa" w:w="2880"/>
          </w:tcPr>
          <w:p>
            <w:r>
              <w:rPr>
                <w:sz w:val="19"/>
              </w:rPr>
            </w:r>
            <w:r>
              <w:rPr>
                <w:b/>
                <w:sz w:val="19"/>
              </w:rPr>
              <w:t>Passé</w:t>
            </w:r>
          </w:p>
        </w:tc>
      </w:tr>
      <w:tr>
        <w:tc>
          <w:tcPr>
            <w:tcW w:type="dxa" w:w="2880"/>
          </w:tcPr>
          <w:p>
            <w:r>
              <w:rPr>
                <w:sz w:val="19"/>
              </w:rPr>
            </w:r>
            <w:r>
              <w:rPr>
                <w:sz w:val="19"/>
              </w:rPr>
              <w:t>Carte choroplèthe génère bien une figure</w:t>
            </w:r>
          </w:p>
        </w:tc>
        <w:tc>
          <w:tcPr>
            <w:tcW w:type="dxa" w:w="2880"/>
          </w:tcPr>
          <w:p>
            <w:r>
              <w:rPr>
                <w:sz w:val="19"/>
              </w:rPr>
            </w:r>
            <w:r>
              <w:rPr>
                <w:rFonts w:ascii="Consolas" w:hAnsi="Consolas"/>
                <w:sz w:val="19"/>
              </w:rPr>
              <w:t>choropleth()</w:t>
            </w:r>
            <w:r>
              <w:rPr>
                <w:sz w:val="19"/>
              </w:rPr>
              <w:t xml:space="preserve"> sur un GeoDataFrame factice retourne une figure matplotlib avec au moins un axe</w:t>
            </w:r>
          </w:p>
        </w:tc>
        <w:tc>
          <w:tcPr>
            <w:tcW w:type="dxa" w:w="2880"/>
          </w:tcPr>
          <w:p>
            <w:r>
              <w:rPr>
                <w:sz w:val="19"/>
              </w:rPr>
            </w:r>
            <w:r>
              <w:rPr>
                <w:b/>
                <w:sz w:val="19"/>
              </w:rPr>
              <w:t>Passé</w:t>
            </w:r>
          </w:p>
        </w:tc>
      </w:tr>
      <w:tr>
        <w:tc>
          <w:tcPr>
            <w:tcW w:type="dxa" w:w="2880"/>
          </w:tcPr>
          <w:p>
            <w:r>
              <w:rPr>
                <w:sz w:val="19"/>
              </w:rPr>
            </w:r>
            <w:r>
              <w:rPr>
                <w:sz w:val="19"/>
              </w:rPr>
              <w:t>Diagramme en barres génère bien une figure</w:t>
            </w:r>
          </w:p>
        </w:tc>
        <w:tc>
          <w:tcPr>
            <w:tcW w:type="dxa" w:w="2880"/>
          </w:tcPr>
          <w:p>
            <w:r>
              <w:rPr>
                <w:sz w:val="19"/>
              </w:rPr>
            </w:r>
            <w:r>
              <w:rPr>
                <w:rFonts w:ascii="Consolas" w:hAnsi="Consolas"/>
                <w:sz w:val="19"/>
              </w:rPr>
              <w:t>bar_chart()</w:t>
            </w:r>
            <w:r>
              <w:rPr>
                <w:sz w:val="19"/>
              </w:rPr>
              <w:t xml:space="preserve"> retourne une figure matplotlib non nulle</w:t>
            </w:r>
          </w:p>
        </w:tc>
        <w:tc>
          <w:tcPr>
            <w:tcW w:type="dxa" w:w="2880"/>
          </w:tcPr>
          <w:p>
            <w:r>
              <w:rPr>
                <w:sz w:val="19"/>
              </w:rPr>
            </w:r>
            <w:r>
              <w:rPr>
                <w:b/>
                <w:sz w:val="19"/>
              </w:rPr>
              <w:t>Passé</w:t>
            </w:r>
          </w:p>
        </w:tc>
      </w:tr>
    </w:tbl>
    <w:p/>
    <w:p>
      <w:r>
        <w:rPr>
          <w:b/>
        </w:rPr>
        <w:t>Fichiers de test</w:t>
      </w:r>
      <w:r>
        <w:t xml:space="preserve"> (</w:t>
      </w:r>
      <w:r>
        <w:rPr>
          <w:rFonts w:ascii="Consolas" w:hAnsi="Consolas"/>
          <w:sz w:val="19"/>
        </w:rPr>
        <w:t>tests/</w:t>
      </w:r>
      <w:r>
        <w:t>) et ce qu'ils couvrent :</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sz w:val="19"/>
              </w:rPr>
            </w:r>
            <w:r>
              <w:rPr>
                <w:b/>
                <w:sz w:val="19"/>
              </w:rPr>
              <w:t>Fichier</w:t>
            </w:r>
          </w:p>
        </w:tc>
        <w:tc>
          <w:tcPr>
            <w:tcW w:type="dxa" w:w="4320"/>
            <w:shd w:val="clear" w:color="auto" w:fill="D9E2F3"/>
          </w:tcPr>
          <w:p>
            <w:r>
              <w:rPr>
                <w:b/>
                <w:sz w:val="19"/>
              </w:rPr>
            </w:r>
            <w:r>
              <w:rPr>
                <w:b/>
                <w:sz w:val="19"/>
              </w:rPr>
              <w:t>Couverture</w:t>
            </w:r>
          </w:p>
        </w:tc>
      </w:tr>
      <w:tr>
        <w:tc>
          <w:tcPr>
            <w:tcW w:type="dxa" w:w="4320"/>
          </w:tcPr>
          <w:p>
            <w:r>
              <w:rPr>
                <w:sz w:val="19"/>
              </w:rPr>
            </w:r>
            <w:r>
              <w:rPr>
                <w:rFonts w:ascii="Consolas" w:hAnsi="Consolas"/>
                <w:sz w:val="19"/>
              </w:rPr>
              <w:t>tests/test_assumptions.py</w:t>
            </w:r>
          </w:p>
        </w:tc>
        <w:tc>
          <w:tcPr>
            <w:tcW w:type="dxa" w:w="4320"/>
          </w:tcPr>
          <w:p>
            <w:r>
              <w:rPr>
                <w:sz w:val="19"/>
              </w:rPr>
            </w:r>
            <w:r>
              <w:rPr>
                <w:sz w:val="19"/>
              </w:rPr>
              <w:t xml:space="preserve">Cohérence de la dataclass </w:t>
            </w:r>
            <w:r>
              <w:rPr>
                <w:rFonts w:ascii="Consolas" w:hAnsi="Consolas"/>
                <w:sz w:val="19"/>
              </w:rPr>
              <w:t>Assumptions</w:t>
            </w:r>
            <w:r>
              <w:rPr>
                <w:sz w:val="19"/>
              </w:rPr>
              <w:t xml:space="preserve"> avec </w:t>
            </w:r>
            <w:r>
              <w:rPr>
                <w:rFonts w:ascii="Consolas" w:hAnsi="Consolas"/>
                <w:sz w:val="19"/>
              </w:rPr>
              <w:t>config.py</w:t>
            </w:r>
            <w:r>
              <w:rPr>
                <w:sz w:val="19"/>
              </w:rPr>
              <w:t>, copie des tranches, immutabilité</w:t>
            </w:r>
          </w:p>
        </w:tc>
      </w:tr>
      <w:tr>
        <w:tc>
          <w:tcPr>
            <w:tcW w:type="dxa" w:w="4320"/>
          </w:tcPr>
          <w:p>
            <w:r>
              <w:rPr>
                <w:sz w:val="19"/>
              </w:rPr>
            </w:r>
            <w:r>
              <w:rPr>
                <w:rFonts w:ascii="Consolas" w:hAnsi="Consolas"/>
                <w:sz w:val="19"/>
              </w:rPr>
              <w:t>tests/test_dashboard_data.py</w:t>
            </w:r>
          </w:p>
        </w:tc>
        <w:tc>
          <w:tcPr>
            <w:tcW w:type="dxa" w:w="4320"/>
          </w:tcPr>
          <w:p>
            <w:r>
              <w:rPr>
                <w:sz w:val="19"/>
              </w:rPr>
            </w:r>
            <w:r>
              <w:rPr>
                <w:sz w:val="19"/>
              </w:rPr>
              <w:t xml:space="preserve">Enrichissement de la table départementale par </w:t>
            </w:r>
            <w:r>
              <w:rPr>
                <w:rFonts w:ascii="Consolas" w:hAnsi="Consolas"/>
                <w:sz w:val="19"/>
              </w:rPr>
              <w:t>compute_indicators</w:t>
            </w:r>
            <w:r>
              <w:rPr>
                <w:sz w:val="19"/>
              </w:rPr>
              <w:t>, sensibilité au gisement et au CAPEX</w:t>
            </w:r>
          </w:p>
        </w:tc>
      </w:tr>
      <w:tr>
        <w:tc>
          <w:tcPr>
            <w:tcW w:type="dxa" w:w="4320"/>
          </w:tcPr>
          <w:p>
            <w:r>
              <w:rPr>
                <w:sz w:val="19"/>
              </w:rPr>
            </w:r>
            <w:r>
              <w:rPr>
                <w:rFonts w:ascii="Consolas" w:hAnsi="Consolas"/>
                <w:sz w:val="19"/>
              </w:rPr>
              <w:t>tests/test_dataset.py</w:t>
            </w:r>
          </w:p>
        </w:tc>
        <w:tc>
          <w:tcPr>
            <w:tcW w:type="dxa" w:w="4320"/>
          </w:tcPr>
          <w:p>
            <w:r>
              <w:rPr>
                <w:sz w:val="19"/>
              </w:rPr>
            </w:r>
            <w:r>
              <w:rPr>
                <w:sz w:val="19"/>
              </w:rPr>
              <w:t>Calcul géométrique des centroïdes départementaux (projection Lambert-93)</w:t>
            </w:r>
          </w:p>
        </w:tc>
      </w:tr>
      <w:tr>
        <w:tc>
          <w:tcPr>
            <w:tcW w:type="dxa" w:w="4320"/>
          </w:tcPr>
          <w:p>
            <w:r>
              <w:rPr>
                <w:sz w:val="19"/>
              </w:rPr>
            </w:r>
            <w:r>
              <w:rPr>
                <w:rFonts w:ascii="Consolas" w:hAnsi="Consolas"/>
                <w:sz w:val="19"/>
              </w:rPr>
              <w:t>tests/test_economics.py</w:t>
            </w:r>
          </w:p>
        </w:tc>
        <w:tc>
          <w:tcPr>
            <w:tcW w:type="dxa" w:w="4320"/>
          </w:tcPr>
          <w:p>
            <w:r>
              <w:rPr>
                <w:sz w:val="19"/>
              </w:rPr>
            </w:r>
            <w:r>
              <w:rPr>
                <w:sz w:val="19"/>
              </w:rPr>
              <w:t xml:space="preserve">Cœur du modèle économique : CAPEX/OPEX par tranche, tarifs de vente, dégradation, VAN, TRI, LCOE, payback, sensibilité au taux d'autoconsommation, compatibilité avec </w:t>
            </w:r>
            <w:r>
              <w:rPr>
                <w:rFonts w:ascii="Consolas" w:hAnsi="Consolas"/>
                <w:sz w:val="19"/>
              </w:rPr>
              <w:t>Assumptions</w:t>
            </w:r>
          </w:p>
        </w:tc>
      </w:tr>
      <w:tr>
        <w:tc>
          <w:tcPr>
            <w:tcW w:type="dxa" w:w="4320"/>
          </w:tcPr>
          <w:p>
            <w:r>
              <w:rPr>
                <w:sz w:val="19"/>
              </w:rPr>
            </w:r>
            <w:r>
              <w:rPr>
                <w:rFonts w:ascii="Consolas" w:hAnsi="Consolas"/>
                <w:sz w:val="19"/>
              </w:rPr>
              <w:t>tests/test_gisement.py</w:t>
            </w:r>
          </w:p>
        </w:tc>
        <w:tc>
          <w:tcPr>
            <w:tcW w:type="dxa" w:w="4320"/>
          </w:tcPr>
          <w:p>
            <w:r>
              <w:rPr>
                <w:sz w:val="19"/>
              </w:rPr>
            </w:r>
            <w:r>
              <w:rPr>
                <w:sz w:val="19"/>
              </w:rPr>
              <w:t>Comportement du fallback synthétique (gradient Nord-Sud) en cas d'indisponibilité de PVGIS</w:t>
            </w:r>
          </w:p>
        </w:tc>
      </w:tr>
      <w:tr>
        <w:tc>
          <w:tcPr>
            <w:tcW w:type="dxa" w:w="4320"/>
          </w:tcPr>
          <w:p>
            <w:r>
              <w:rPr>
                <w:sz w:val="19"/>
              </w:rPr>
            </w:r>
            <w:r>
              <w:rPr>
                <w:rFonts w:ascii="Consolas" w:hAnsi="Consolas"/>
                <w:sz w:val="19"/>
              </w:rPr>
              <w:t>tests/test_viz.py</w:t>
            </w:r>
          </w:p>
        </w:tc>
        <w:tc>
          <w:tcPr>
            <w:tcW w:type="dxa" w:w="4320"/>
          </w:tcPr>
          <w:p>
            <w:r>
              <w:rPr>
                <w:sz w:val="19"/>
              </w:rPr>
            </w:r>
            <w:r>
              <w:rPr>
                <w:sz w:val="19"/>
              </w:rPr>
              <w:t>Génération effective des figures (choroplèthe, barres) sans erreur</w:t>
            </w:r>
          </w:p>
        </w:tc>
      </w:tr>
    </w:tbl>
    <w:p/>
    <w:p/>
    <w:p>
      <w:pPr>
        <w:pStyle w:val="Heading2"/>
      </w:pPr>
      <w:r>
        <w:t>7. Limites &amp; suites possibles</w:t>
      </w:r>
    </w:p>
    <w:p>
      <w:r>
        <w:rPr>
          <w:b/>
        </w:rPr>
        <w:t>Limites assumées du périmètre actuel</w:t>
      </w:r>
      <w:r>
        <w:t xml:space="preserve"> (cf. note de cadrage §3.1 et </w:t>
      </w:r>
      <w:r>
        <w:rPr>
          <w:rFonts w:ascii="Consolas" w:hAnsi="Consolas"/>
          <w:sz w:val="19"/>
        </w:rPr>
        <w:t>README.md</w:t>
      </w:r>
      <w:r>
        <w:t>) :</w:t>
      </w:r>
    </w:p>
    <w:p>
      <w:pPr>
        <w:pStyle w:val="ListBullet"/>
      </w:pPr>
      <w:r>
        <w:rPr>
          <w:b/>
        </w:rPr>
        <w:t>Échelle territoriale agrégée</w:t>
      </w:r>
      <w:r>
        <w:t xml:space="preserve"> : l'analyse est menée au niveau départemental, pas bâtiment par bâtiment — cette granularité fine relève du rôle futur de </w:t>
      </w:r>
      <w:r>
        <w:rPr>
          <w:b/>
        </w:rPr>
        <w:t>Simeo</w:t>
      </w:r>
      <w:r>
        <w:t>, pas de ce projet exploratoire.</w:t>
      </w:r>
    </w:p>
    <w:p>
      <w:pPr>
        <w:pStyle w:val="ListBullet"/>
      </w:pPr>
      <w:r>
        <w:rPr>
          <w:b/>
        </w:rPr>
        <w:t>France métropolitaine uniquement</w:t>
      </w:r>
      <w:r>
        <w:t xml:space="preserve"> : l'extension à l'échelle </w:t>
      </w:r>
      <w:r>
        <w:rPr>
          <w:b/>
        </w:rPr>
        <w:t>européenne</w:t>
      </w:r>
      <w:r>
        <w:t xml:space="preserve"> (mentionnée comme optionnelle/bonus dans la note de cadrage) n'a pas été réalisée, faute de temps dans le format d'une semaine (choix YAGNI assumé et documenté dans le registre des risques du document de pilotage (pilotage-projet.md)).</w:t>
      </w:r>
    </w:p>
    <w:p>
      <w:pPr>
        <w:pStyle w:val="ListBullet"/>
      </w:pPr>
      <w:r>
        <w:rPr>
          <w:b/>
        </w:rPr>
        <w:t>Pas de suivi du parc installé</w:t>
      </w:r>
      <w:r>
        <w:t xml:space="preserve"> : le projet caractérise le potentiel (gisement, technique, économique) mais ne compare pas à la réalité du déploiement actuel (MW installés par département), qui aurait permis de qualifier les frictions gisement → réalisé évoquées dans la note de cadrage (§1.4).</w:t>
      </w:r>
    </w:p>
    <w:p>
      <w:pPr>
        <w:pStyle w:val="ListBullet"/>
      </w:pPr>
      <w:r>
        <w:rPr>
          <w:b/>
        </w:rPr>
        <w:t>Hypothèses économiques indicatives</w:t>
      </w:r>
      <w:r>
        <w:t xml:space="preserve"> : CAPEX, OPEX et tarifs S21 proviennent de l'Annexe A de la note de cadrage, explicitement signalés comme des ordres de grandeur à recouper et dater pour un usage opérationnel.</w:t>
      </w:r>
    </w:p>
    <w:p>
      <w:r>
        <w:rPr>
          <w:b/>
        </w:rPr>
        <w:t>Suites possibles</w:t>
      </w:r>
      <w:r>
        <w:t xml:space="preserve"> :</w:t>
      </w:r>
    </w:p>
    <w:p>
      <w:pPr>
        <w:pStyle w:val="ListBullet"/>
      </w:pPr>
      <w:r>
        <w:t xml:space="preserve">Extension du périmètre géographique à l'échelle </w:t>
      </w:r>
      <w:r>
        <w:rPr>
          <w:b/>
        </w:rPr>
        <w:t>européenne</w:t>
      </w:r>
      <w:r>
        <w:t xml:space="preserve"> pour contextualiser le potentiel français (la note de cadrage évoque déjà un écart de production de +70 % pour l'Espagne et la Grèce).</w:t>
      </w:r>
    </w:p>
    <w:p>
      <w:pPr>
        <w:pStyle w:val="ListBullet"/>
      </w:pPr>
      <w:r>
        <w:t xml:space="preserve">Croisement avec des données de </w:t>
      </w:r>
      <w:r>
        <w:rPr>
          <w:b/>
        </w:rPr>
        <w:t>parc PV installé</w:t>
      </w:r>
      <w:r>
        <w:t xml:space="preserve"> par département pour identifier les zones à fort potentiel économique mais faible taux de réalisation.</w:t>
      </w:r>
    </w:p>
    <w:p>
      <w:pPr>
        <w:pStyle w:val="ListBullet"/>
      </w:pPr>
      <w:r>
        <w:t xml:space="preserve">Passage à une </w:t>
      </w:r>
      <w:r>
        <w:rPr>
          <w:b/>
        </w:rPr>
        <w:t>analyse bâtiment par bâtiment</w:t>
      </w:r>
      <w:r>
        <w:t>, en intégration avec le patrimoine bâti déjà connu de Simeo — c'est l'étape naturelle pour transformer ce prototype exploratoire en module opérationnel.</w:t>
      </w:r>
    </w:p>
    <w:p>
      <w:pPr>
        <w:pStyle w:val="ListBullet"/>
      </w:pPr>
      <w:r>
        <w:t>Fiabilisation et datation des hypothèses économiques (CAPEX/OPEX/tarifs) auprès de sources de marché à jour, en remplacement des ordres de grandeur indicatifs de l'Annexe A.</w:t>
      </w:r>
    </w:p>
    <w:p/>
    <w:p>
      <w:pPr>
        <w:pStyle w:val="Heading2"/>
      </w:pPr>
      <w:r>
        <w:t>8. Liens</w:t>
      </w:r>
    </w:p>
    <w:p>
      <w:pPr>
        <w:pStyle w:val="ListBullet"/>
      </w:pPr>
      <w:r>
        <w:rPr>
          <w:b/>
        </w:rPr>
        <w:t>Code source</w:t>
      </w:r>
      <w:r>
        <w:t xml:space="preserve"> : &lt;https://github.com/imeneee01/workshop-client-3&gt;</w:t>
      </w:r>
    </w:p>
    <w:p>
      <w:pPr>
        <w:pStyle w:val="ListBullet"/>
      </w:pPr>
      <w:r>
        <w:rPr>
          <w:b/>
        </w:rPr>
        <w:t>Dashboard déployé</w:t>
      </w:r>
      <w:r>
        <w:t xml:space="preserve"> : &lt;https://imeneee01-workshop-client-3-streamlit-app-kzifeo.streamlit.app/&gt;</w:t>
      </w:r>
    </w:p>
    <w:p>
      <w:pPr>
        <w:pStyle w:val="ListBullet"/>
      </w:pPr>
      <w:r>
        <w:rPr>
          <w:b/>
        </w:rPr>
        <w:t>Outils de gestion de projet</w:t>
      </w:r>
      <w:r>
        <w:t xml:space="preserve"> : board Kanban, planning, registre des risques, suivi budgétaire et KPI — voir le </w:t>
      </w:r>
      <w:r>
        <w:rPr>
          <w:b/>
        </w:rPr>
        <w:t>document de pilotage (pilotage-projet.md)</w:t>
      </w:r>
      <w:r>
        <w:t>.</w:t>
      </w:r>
    </w:p>
    <w:p>
      <w:pPr>
        <w:pStyle w:val="ListBullet"/>
      </w:pPr>
      <w:r>
        <w:rPr>
          <w:b/>
        </w:rPr>
        <w:t>Note de cadrage</w:t>
      </w:r>
      <w:r>
        <w:t xml:space="preserve"> : </w:t>
      </w:r>
      <w:r>
        <w:rPr>
          <w:rFonts w:ascii="Consolas" w:hAnsi="Consolas"/>
          <w:sz w:val="19"/>
        </w:rPr>
        <w:t>potentiel-pv-france-note-cadrage.md</w:t>
      </w:r>
      <w:r>
        <w:t xml:space="preserve"> (../potentiel-pv-france-note-cadrage.md).</w:t>
      </w:r>
    </w:p>
    <w:p>
      <w:pPr>
        <w:pStyle w:val="ListBullet"/>
      </w:pPr>
      <w:r>
        <w:rPr>
          <w:b/>
        </w:rPr>
        <w:t>Notebook d'analyse</w:t>
      </w:r>
      <w:r>
        <w:t xml:space="preserve"> : </w:t>
      </w:r>
      <w:r>
        <w:rPr>
          <w:rFonts w:ascii="Consolas" w:hAnsi="Consolas"/>
          <w:sz w:val="19"/>
        </w:rPr>
        <w:t>notebooks/analyse_pv_france.ipynb</w:t>
      </w:r>
      <w:r>
        <w:t xml:space="preserve"> (../notebooks/analyse_pv_france.ipynb).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