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Pawford research visit</w:t>
      </w:r>
    </w:p>
    <w:p>
      <w:pPr>
        <w:pStyle w:val="Subtitle"/>
      </w:pPr>
      <w:r>
        <w:t>Field notes · 2 June 2026</w:t>
      </w:r>
    </w:p>
    <w:p>
      <w:pPr>
        <w:pStyle w:val="Heading1"/>
      </w:pPr>
      <w:r>
        <w:t>Purpose</w:t>
      </w:r>
    </w:p>
    <w:p>
      <w:r>
        <w:t>Compare the Whiskerfield household register with the surviving name index and note where a second source is still needed.</w:t>
      </w:r>
    </w:p>
    <w:p>
      <w:pPr>
        <w:pStyle w:val="Heading1"/>
      </w:pPr>
      <w:r>
        <w:t>Observations</w:t>
      </w:r>
    </w:p>
    <w:p>
      <w:pPr>
        <w:pStyle w:val="ListBullet"/>
      </w:pPr>
      <w:r>
        <w:t>The index points to page 12 for Barnaby, Daisy, Silver, and Luna Whiskerfield.</w:t>
      </w:r>
    </w:p>
    <w:p>
      <w:pPr>
        <w:pStyle w:val="ListBullet"/>
      </w:pPr>
      <w:r>
        <w:t>The register image is legible, but relationships should be checked against original records.</w:t>
      </w:r>
    </w:p>
    <w:p>
      <w:pPr>
        <w:pStyle w:val="ListBullet"/>
      </w:pPr>
      <w:r>
        <w:t>Daisy's letter may help identify photographs associated with this household.</w:t>
      </w:r>
    </w:p>
    <w:p>
      <w:pPr>
        <w:pStyle w:val="Heading1"/>
      </w:pPr>
      <w:r>
        <w:t>Follow-up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Next step</w:t>
            </w:r>
          </w:p>
        </w:tc>
      </w:tr>
      <w:tr>
        <w:tc>
          <w:tcPr>
            <w:tcW w:type="dxa" w:w="4320"/>
          </w:tcPr>
          <w:p>
            <w:r>
              <w:t>Household register</w:t>
            </w:r>
          </w:p>
        </w:tc>
        <w:tc>
          <w:tcPr>
            <w:tcW w:type="dxa" w:w="4320"/>
          </w:tcPr>
          <w:p>
            <w:r>
              <w:t>Compare page 12 against the index transcription</w:t>
            </w:r>
          </w:p>
        </w:tc>
      </w:tr>
      <w:tr>
        <w:tc>
          <w:tcPr>
            <w:tcW w:type="dxa" w:w="4320"/>
          </w:tcPr>
          <w:p>
            <w:r>
              <w:t>Birth announcement</w:t>
            </w:r>
          </w:p>
        </w:tc>
        <w:tc>
          <w:tcPr>
            <w:tcW w:type="dxa" w:w="4320"/>
          </w:tcPr>
          <w:p>
            <w:r>
              <w:t>Confirm Silver's date and place</w:t>
            </w:r>
          </w:p>
        </w:tc>
      </w:tr>
      <w:tr>
        <w:tc>
          <w:tcPr>
            <w:tcW w:type="dxa" w:w="4320"/>
          </w:tcPr>
          <w:p>
            <w:r>
              <w:t>Family letter</w:t>
            </w:r>
          </w:p>
        </w:tc>
        <w:tc>
          <w:tcPr>
            <w:tcW w:type="dxa" w:w="4320"/>
          </w:tcPr>
          <w:p>
            <w:r>
              <w:t>Identify the photographs Daisy describes</w:t>
            </w:r>
          </w:p>
        </w:tc>
      </w:tr>
    </w:tbl>
    <w:p>
      <w:r>
        <w:t>Sample research material for the GeneoGraph prototype.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