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任职资格批复姓名提取与自动验证方案</w:t>
      </w:r>
    </w:p>
    <w:p>
      <w:r>
        <w:t>2026年10月12日  0.5.0 姓名人数结构与弃权规则版  r55</w:t>
      </w:r>
    </w:p>
    <w:p>
      <w:r>
        <w:t>本方案指导Codex仅依据原标题提取姓名，验证并生成原表副本。当前0.5.0保留52146条记录和13个原字段，只追加姓名与字数；122标题131行脚本未决。原107个四字输出逐项审查后，2个已复核人数歧义转未决，其余105个按用户确认口径保留并继续披露风险。真实准确率未评估，成果继续待复核。此前段落和统计作为历史保留，当前人数规则与验证结论以第十四、十五节为准。</w:t>
      </w:r>
    </w:p>
    <w:p>
      <w:pPr>
        <w:pStyle w:val="Heading1"/>
      </w:pPr>
      <w:r>
        <w:t>一  数据和需求优先级</w:t>
      </w:r>
    </w:p>
    <w:p>
      <w:r>
        <w:t>输入文件为任职资格批复汇总测试.xlsx，Sheet1实际包含52146条记录，标题位于A列，分类列实际名为类型。标题原文完全相同去重后为46760个。工作表最大行数元数据为Excel上限，不能用它代替实际数据记录数。</w:t>
      </w:r>
    </w:p>
    <w:p>
      <w:r>
        <w:t>项目要求及当前用户确认的八项业务决定作为执行依据。附件范本中的读取正文、提取职位、多人拆行、单独输出工作表和删除内容列均不执行。标题以外的字段不用于判断姓名，原表内容只为后续原样保留，不提供给AI。</w:t>
      </w:r>
    </w:p>
    <w:p>
      <w:r>
        <w:t>原邮件要求最终人工检查。当前用户明确选择Codex主导的全自动验证，用户只审阅阶段结论和交付。报告必须注明人工检查未执行，不能把AI标注或AI复核记成人工检查，也不能据此声称满足了原邮件的人工检查条件。</w:t>
      </w:r>
    </w:p>
    <w:p>
      <w:pPr>
        <w:pStyle w:val="Heading1"/>
      </w:pPr>
      <w:r>
        <w:t>二  输出规则</w:t>
      </w:r>
    </w:p>
    <w:p>
      <w:r>
        <w:t>提取姓名按标题出现顺序保留每位明确被批复人的原始姓名表达。不同人的姓名以全角分号分隔，不新增数据行。同一人的英文姓名与括号中文名整体保留，不拆成两个人，不统一大小写、空格或姓名内部标点。机构名称、地区名称、批复动词、任职资格和职位描述不进入姓名字段。</w:t>
      </w:r>
    </w:p>
    <w:p>
      <w:r>
        <w:t>姓名字数统一为整数，只统计已提取姓名中的汉字和英文字母。多人为数值总长度，分号、中点、连字符、逗号、句点、括号、空格及其他标点不计数。汉字包括常用及扩展汉字，英文字母按A至Z及a至z逐个计数；未经统一口径处理的其他书写体系保留候选并进入疑点复核，不擅自转写。</w:t>
      </w:r>
    </w:p>
    <w:p>
      <w:r>
        <w:t>脚本确定没有明示姓名时，姓名留空、姓名字数写数值0；脚本仍未决时两列均留空。生产Excel只来自脚本结果，AI共识不能回填未决或替换确定输出。AI异议另记比较报告与疑点；有未决时标为待复核阶段成果。</w:t>
      </w:r>
    </w:p>
    <w:tbl>
      <w:tblPr>
        <w:tblW w:type="auto" w:w="0"/>
        <w:tblLayout w:type="fixed"/>
        <w:tblLook w:firstColumn="1" w:firstRow="1" w:lastColumn="0" w:lastRow="0" w:noHBand="0" w:noVBand="1" w:val="04A0"/>
      </w:tblPr>
      <w:tblGrid>
        <w:gridCol w:w="4082"/>
        <w:gridCol w:w="3969"/>
        <w:gridCol w:w="1474"/>
      </w:tblGrid>
      <w:tr>
        <w:trPr>
          <w:tblHeader/>
        </w:trPr>
        <w:tc>
          <w:tcPr>
            <w:tcW w:type="dxa" w:w="408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r>
              <w:rPr>
                <w:rFonts w:ascii="Arial Unicode MS" w:hAnsi="Arial Unicode MS" w:eastAsia="Hiragino Sans GB"/>
                <w:b/>
              </w:rPr>
              <w:t>标题中的表达</w:t>
            </w:r>
          </w:p>
        </w:tc>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r>
              <w:rPr>
                <w:rFonts w:ascii="Arial Unicode MS" w:hAnsi="Arial Unicode MS" w:eastAsia="Hiragino Sans GB"/>
                <w:b/>
              </w:rPr>
              <w:t>提取姓名</w:t>
            </w:r>
          </w:p>
        </w:tc>
        <w:tc>
          <w:tcPr>
            <w:tcW w:type="dxa" w:w="147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jc w:val="center"/>
            </w:pPr>
            <w:r>
              <w:rPr>
                <w:rFonts w:ascii="Arial Unicode MS" w:hAnsi="Arial Unicode MS" w:eastAsia="Hiragino Sans GB"/>
                <w:b/>
              </w:rPr>
              <w:t>姓名字数</w:t>
            </w:r>
          </w:p>
        </w:tc>
      </w:tr>
      <w:tr>
        <w:tc>
          <w:tcPr>
            <w:tcW w:type="dxa" w:w="408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r>
              <w:rPr>
                <w:rFonts w:ascii="Arial Unicode MS" w:hAnsi="Arial Unicode MS" w:eastAsia="Hiragino Sans GB"/>
              </w:rPr>
              <w:t>关于核准梁晓芝任职资格的批复</w:t>
            </w:r>
          </w:p>
        </w:tc>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r>
              <w:rPr>
                <w:rFonts w:ascii="Arial Unicode MS" w:hAnsi="Arial Unicode MS" w:eastAsia="Hiragino Sans GB"/>
              </w:rPr>
              <w:t>梁晓芝</w:t>
            </w:r>
          </w:p>
        </w:tc>
        <w:tc>
          <w:tcPr>
            <w:tcW w:type="dxa" w:w="147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jc w:val="center"/>
            </w:pPr>
            <w:r>
              <w:rPr>
                <w:rFonts w:ascii="Arial Unicode MS" w:hAnsi="Arial Unicode MS" w:eastAsia="Hiragino Sans GB"/>
              </w:rPr>
              <w:t>3</w:t>
            </w:r>
          </w:p>
        </w:tc>
      </w:tr>
      <w:tr>
        <w:tc>
          <w:tcPr>
            <w:tcW w:type="dxa" w:w="408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r>
              <w:rPr>
                <w:rFonts w:ascii="Arial Unicode MS" w:hAnsi="Arial Unicode MS" w:eastAsia="Hiragino Sans GB"/>
              </w:rPr>
              <w:t>关于秦铖、蒲涛任职资格的批复</w:t>
            </w:r>
          </w:p>
        </w:tc>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r>
              <w:rPr>
                <w:rFonts w:ascii="Arial Unicode MS" w:hAnsi="Arial Unicode MS" w:eastAsia="Hiragino Sans GB"/>
              </w:rPr>
              <w:t>秦铖；蒲涛</w:t>
            </w:r>
          </w:p>
        </w:tc>
        <w:tc>
          <w:tcPr>
            <w:tcW w:type="dxa" w:w="147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jc w:val="center"/>
            </w:pPr>
            <w:r>
              <w:rPr>
                <w:rFonts w:ascii="Arial Unicode MS" w:hAnsi="Arial Unicode MS" w:eastAsia="Hiragino Sans GB"/>
              </w:rPr>
              <w:t>4</w:t>
            </w:r>
          </w:p>
        </w:tc>
      </w:tr>
      <w:tr>
        <w:tc>
          <w:tcPr>
            <w:tcW w:type="dxa" w:w="408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r>
              <w:rPr>
                <w:rFonts w:ascii="Arial Unicode MS" w:hAnsi="Arial Unicode MS" w:eastAsia="Hiragino Sans GB"/>
              </w:rPr>
              <w:t>关于GohYihYee（吴子宇）任职资格的批复</w:t>
            </w:r>
          </w:p>
        </w:tc>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r>
              <w:rPr>
                <w:rFonts w:ascii="Arial Unicode MS" w:hAnsi="Arial Unicode MS" w:eastAsia="Hiragino Sans GB"/>
              </w:rPr>
              <w:t>GohYihYee（吴子宇）</w:t>
            </w:r>
          </w:p>
        </w:tc>
        <w:tc>
          <w:tcPr>
            <w:tcW w:type="dxa" w:w="147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jc w:val="center"/>
            </w:pPr>
            <w:r>
              <w:rPr>
                <w:rFonts w:ascii="Arial Unicode MS" w:hAnsi="Arial Unicode MS" w:eastAsia="Hiragino Sans GB"/>
              </w:rPr>
              <w:t>12</w:t>
            </w:r>
          </w:p>
        </w:tc>
      </w:tr>
      <w:tr>
        <w:tc>
          <w:tcPr>
            <w:tcW w:type="dxa" w:w="408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r>
              <w:rPr>
                <w:rFonts w:ascii="Arial Unicode MS" w:hAnsi="Arial Unicode MS" w:eastAsia="Hiragino Sans GB"/>
              </w:rPr>
              <w:t>关于孙体虎等4人任职资格的批复</w:t>
            </w:r>
          </w:p>
        </w:tc>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r>
              <w:rPr>
                <w:rFonts w:ascii="Arial Unicode MS" w:hAnsi="Arial Unicode MS" w:eastAsia="Hiragino Sans GB"/>
              </w:rPr>
              <w:t>孙体虎</w:t>
            </w:r>
          </w:p>
        </w:tc>
        <w:tc>
          <w:tcPr>
            <w:tcW w:type="dxa" w:w="147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jc w:val="center"/>
            </w:pPr>
            <w:r>
              <w:rPr>
                <w:rFonts w:ascii="Arial Unicode MS" w:hAnsi="Arial Unicode MS" w:eastAsia="Hiragino Sans GB"/>
              </w:rPr>
              <w:t>3</w:t>
            </w:r>
          </w:p>
        </w:tc>
      </w:tr>
      <w:tr>
        <w:tc>
          <w:tcPr>
            <w:tcW w:type="dxa" w:w="408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r>
              <w:rPr>
                <w:rFonts w:ascii="Arial Unicode MS" w:hAnsi="Arial Unicode MS" w:eastAsia="Hiragino Sans GB"/>
              </w:rPr>
              <w:t>莫里·洪恩</w:t>
            </w:r>
          </w:p>
        </w:tc>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r>
              <w:rPr>
                <w:rFonts w:ascii="Arial Unicode MS" w:hAnsi="Arial Unicode MS" w:eastAsia="Hiragino Sans GB"/>
              </w:rPr>
              <w:t>莫里·洪恩</w:t>
            </w:r>
          </w:p>
        </w:tc>
        <w:tc>
          <w:tcPr>
            <w:tcW w:type="dxa" w:w="147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jc w:val="center"/>
            </w:pPr>
            <w:r>
              <w:rPr>
                <w:rFonts w:ascii="Arial Unicode MS" w:hAnsi="Arial Unicode MS" w:eastAsia="Hiragino Sans GB"/>
              </w:rPr>
              <w:t>4</w:t>
            </w:r>
          </w:p>
        </w:tc>
      </w:tr>
      <w:tr>
        <w:tc>
          <w:tcPr>
            <w:tcW w:type="dxa" w:w="408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r>
              <w:rPr>
                <w:rFonts w:ascii="Arial Unicode MS" w:hAnsi="Arial Unicode MS" w:eastAsia="Hiragino Sans GB"/>
              </w:rPr>
              <w:t>陈料挥（CHEN,LIAO-HUEI）</w:t>
            </w:r>
          </w:p>
        </w:tc>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r>
              <w:rPr>
                <w:rFonts w:ascii="Arial Unicode MS" w:hAnsi="Arial Unicode MS" w:eastAsia="Hiragino Sans GB"/>
              </w:rPr>
              <w:t>陈料挥（CHEN,LIAO-HUEI）</w:t>
            </w:r>
          </w:p>
        </w:tc>
        <w:tc>
          <w:tcPr>
            <w:tcW w:type="dxa" w:w="147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jc w:val="center"/>
            </w:pPr>
            <w:r>
              <w:rPr>
                <w:rFonts w:ascii="Arial Unicode MS" w:hAnsi="Arial Unicode MS" w:eastAsia="Hiragino Sans GB"/>
              </w:rPr>
              <w:t>15</w:t>
            </w:r>
          </w:p>
        </w:tc>
      </w:tr>
      <w:tr>
        <w:tc>
          <w:tcPr>
            <w:tcW w:type="dxa" w:w="408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r>
              <w:rPr>
                <w:rFonts w:ascii="Arial Unicode MS" w:hAnsi="Arial Unicode MS" w:eastAsia="Hiragino Sans GB"/>
              </w:rPr>
              <w:t>KelvinS.Aquilino（许世堃）</w:t>
            </w:r>
          </w:p>
        </w:tc>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r>
              <w:rPr>
                <w:rFonts w:ascii="Arial Unicode MS" w:hAnsi="Arial Unicode MS" w:eastAsia="Hiragino Sans GB"/>
              </w:rPr>
              <w:t>KelvinS.Aquilino（许世堃）</w:t>
            </w:r>
          </w:p>
        </w:tc>
        <w:tc>
          <w:tcPr>
            <w:tcW w:type="dxa" w:w="147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jc w:val="center"/>
            </w:pPr>
            <w:r>
              <w:rPr>
                <w:rFonts w:ascii="Arial Unicode MS" w:hAnsi="Arial Unicode MS" w:eastAsia="Hiragino Sans GB"/>
              </w:rPr>
              <w:t>18</w:t>
            </w:r>
          </w:p>
        </w:tc>
      </w:tr>
    </w:tbl>
    <w:p/>
    <w:p>
      <w:pPr>
        <w:pStyle w:val="Heading1"/>
      </w:pPr>
      <w:r>
        <w:t>三  全量提取与边界判断</w:t>
      </w:r>
    </w:p>
    <w:p>
      <w:r>
        <w:t>首先识别任职资格或任职语义所指的被批复人片段，去除批复动词和任职后缀；同时处理监管机关和地区分局引出的批复前缀。机构前后片段联合判断，完整机构锚点优先，机关、地区等弱锚点不能覆盖完整机构。机构后出现职务不能抢先返回为姓名；多个任职资格片段仅在从句边界完整时合并；边界未明时保留未决，不能仅采用首段。机构边界仍不清晰时保留未决。 拟任资格与明确董事资格也可提供任职后缀；引用管理规定的规范性通知和监管委员会令不作为被批复人结构。只有裸核准对象而无任职或岗位语义时，统一保留未决。</w:t>
      </w:r>
    </w:p>
    <w:p>
      <w:r>
        <w:t>候选中的顿号、分号等明确分隔在括号外按原顺序拆分。和、及、与可能是姓名或机构内部文字，关系无法确定时只保存候选并保持脚本未决。独立AI判断只写验证报告；只有通用脚本规则能确定时才输出多人，不以AI答案直接回填。括号内英文逗号和连字符保留原文。 括号外外文逗号无法仅由原标题证明同人或多人，保留完整候选并未决；内部括号别名标点仍保留。</w:t>
      </w:r>
    </w:p>
    <w:p>
      <w:r>
        <w:t>不凭常见姓氏或固定姓名长度猜边界。中点分隔长姓名保留完整片段；无明确边界的较长连续汉字仍可能是长姓名或连写多人，保守留未决而不猜拆。人数省略表达去除后只保留明示姓名；多个完整任职从句按原顺序合并，无明确从句边界不只取首人。</w:t>
      </w:r>
    </w:p>
    <w:p>
      <w:r>
        <w:t>已补充信用社、保险社及分社、银行部门和人寿、财险、养老、中支等简称机构边界，去除监管前缀和关于对等介词。完整识别兼任、合规官、合规负责人、首席风险控制官、风险管理部及括号内职务说明，保护银行长春分行中的机构文字。机构及分支间可能含姓名时保留未决，不能仅因末尾没有姓名确认无姓名。 有来源的完整母机构与末级机构之间可以检查中间姓名；无姓名判定须消费全部岗位与履职括注，不能用岗位前截断证明后面没有姓名。</w:t>
      </w:r>
    </w:p>
    <w:p>
      <w:r>
        <w:t>新增规则依据实际标题中的共同错误结构修改，每轮保存全量结果和状态迁移。未决数量增加可能来自此前错误候选被发现，风险数量增加可能来自检查范围扩大；二者均不能直接等同于真实错误数量。优先减少把残片当作姓名却没有报警的错误。</w:t>
      </w:r>
    </w:p>
    <w:p>
      <w:pPr>
        <w:pStyle w:val="Heading1"/>
      </w:pPr>
      <w:r>
        <w:t>四  独立标注和交叉验证</w:t>
      </w:r>
    </w:p>
    <w:p>
      <w:r>
        <w:t>AI A只接收记录标识、原标题及输出约定，独立逐标题判断，不读取提取代码、提取结果或实现对话。每条返回姓名原文片段、明确姓名或无姓名或不确定状态；异常和歧义附简短标题依据。姓名字数由确定性程序校核，不依赖AI算术。首次标注结果保存，后续不为提高一致率而覆盖。</w:t>
      </w:r>
    </w:p>
    <w:p>
      <w:r>
        <w:t>独立规则校验器不复用提取器的姓名识别正则。它逐条检查姓名是否能在原标题连续定位、顺序和分隔符是否符合约定、字数是否为正确整数，以及机构或职务残留、多人线索、括号、中英文及异常长度等疑点。来源片段存在和格式通过只证明相应检查项通过，不能证明语义正确。</w:t>
      </w:r>
    </w:p>
    <w:p>
      <w:r>
        <w:t>逐行比较脚本与有效AI参考答案，覆盖姓名列表、展示值、字数和状态；分别统计完全匹配、确定差异、脚本未决、无姓名争议，以及参考缺失、单渠道、无效和分歧。AI只用于验证依据，不决定Excel单元格。已有参考用于工程回归，不能视为人工真值或重新称为未见样本。</w:t>
      </w:r>
    </w:p>
    <w:p>
      <w:pPr>
        <w:pStyle w:val="Heading1"/>
      </w:pPr>
      <w:r>
        <w:t>五  复核抽样和未决结果</w:t>
      </w:r>
    </w:p>
    <w:p>
      <w:r>
        <w:t>AI A和AI B分别独立判断修正规则后剩余未决、无姓名候选、风险及冲突标题。AI B使用独立上下文，只接收原标题、记录标识和口径，不先看脚本或A的答案。0.1.0普通低风险标题按固定种子20261012分层抽取5%并向上取整，原清单保留。</w:t>
      </w:r>
    </w:p>
    <w:p>
      <w:r>
        <w:t>0.1.0五组各400标题和0.2.0冻结r37后的100个普通未见标题均已揭示，全部作为工程回归集。0.2.0的20个历史争议及2个变化标题属于定向复核。0.3.0先用独立原始结构筛查排除已用标题、历史变更及机构学习来源，再冻结r43与实际资源，对8个新异常尾部或后缀标题进行盲判断；揭示后转回归，不重复称为未见证明。</w:t>
      </w:r>
    </w:p>
    <w:p>
      <w:pPr>
        <w:pStyle w:val="Heading1"/>
      </w:pPr>
      <w:r>
        <w:t>六  持久化和规则回归</w:t>
      </w:r>
    </w:p>
    <w:p>
      <w:r>
        <w:t>内部记录保留原始Excel行号、标题、抽样种子、脚本版本结果、首次AI参考答案、AI复核结果、字数检查、差异类型和裁决依据。最终Excel只新增约定两列，内部台账不是另交付的姓名结果表。参考答案修正必须保留修改前后判断及理由。</w:t>
      </w:r>
    </w:p>
    <w:p>
      <w:r>
        <w:t>每次发现错误先归类并找共同边界原因，再同步Word和代码，运行全量检查。回归基线取历版已有依据支持的正确样本集合，同时比较姓名、展示值、字数和状态，检查相邻版本的新增错误与修复。参考答案修订保留前后判断及理由。重启后重新加载缓存继续未完成批次，既有标注不重复调用。</w:t>
      </w:r>
    </w:p>
    <w:p>
      <w:r>
        <w:t>另以明确标记的故障注入检查验证器是否能发现漏提、错误字数和缺失标注。注入结果不计真实数据错误或真实修改轮次。实际规则修改已按版本持续保存；十轮以上修改要求依据真实结构错误及对应规则变更核对，不把重复运行、重新导出或故障注入算作规则修改。</w:t>
      </w:r>
    </w:p>
    <w:p>
      <w:pPr>
        <w:pStyle w:val="Heading1"/>
      </w:pPr>
      <w:r>
        <w:t>七  额度和全量扩展</w:t>
      </w:r>
    </w:p>
    <w:p>
      <w:r>
        <w:t>0.2.0历史新增独立复核使用gpt-6.1-sol/medium及当前Codex额度，先测21标题，再完成101标题。0.3.0复用既有判断，仅对8个未用异常结构标题新增两独立上下文、共16份盲判断，不增加付费API。首答保留，实际token不可观测，不用字符数推算额度。</w:t>
      </w:r>
    </w:p>
    <w:p>
      <w:r>
        <w:t>批次清单记录必需标题、已缓存标题和缺失标题，支持断点续跑。额度不足时保存全部已完成结果及剩余覆盖，暂停未完成调用并报告限制，不降低抽样比例、复核范围或把缺失标注视为通过。可观测token用量与不可观测部分分别记录，不能由字符数推算额度。</w:t>
      </w:r>
    </w:p>
    <w:p>
      <w:r>
        <w:t>Excel输出为原工作簿副本，姓名及字数逐行只来自脚本结果，通过原OOXML追加N、O两列。原A至M值、类型、格式、顺序和行属性保留，其他ZIP成员不变，筛选扩到O；AI改变、缺失或分歧均不能向Excel注入姓名。未决空/空，无姓名空/0，疑点在外部CSV，不新增结果工作表。</w:t>
      </w:r>
    </w:p>
    <w:p>
      <w:pPr>
        <w:pStyle w:val="Heading1"/>
      </w:pPr>
      <w:r>
        <w:t>八  验证报告和当前状态</w:t>
      </w:r>
    </w:p>
    <w:p>
      <w:r>
        <w:t>报告分别披露全量规则状态、风险检出、脚本与独立AI参考答案的一致率、实际AI覆盖、回归和未决。没有独立真值时真实准确率记为未评估，原邮件所要求的人工检查尚未执行，不能据此宣称验收通过。</w:t>
      </w:r>
    </w:p>
    <w:p>
      <w:r>
        <w:t>保留r03基线：46760个不同标题映射52146行，姓名候选39087个、未决7131个、无姓名候选542个；映射原行分别44344、7235、567行。原200标题实验及首次参考答案保留。</w:t>
      </w:r>
    </w:p>
    <w:p>
      <w:r>
        <w:t>0.2.0历史 r38纯脚本全量：46760不同标题、52146原行；姓名45929标题/51239行，无姓名663标题/730行，未决168标题/177行。该阶段仍可从Git a539f58及validation/v2复现，不覆盖历史成果。当前统计见0.3.0阶段结论。</w:t>
      </w:r>
    </w:p>
    <w:p>
      <w:r>
        <w:t>0.1.0历史记录：当前风险标题21016个。风险检查扩充后大量机构边界进入复核，风险计数与未决存在重叠，不能相加成错误总数。未决是尚不能可靠形成结果的状态，不代表已确认错误。</w:t>
      </w:r>
    </w:p>
    <w:p>
      <w:r>
        <w:t>规则修改覆盖职务及部门残片、多人连接歧义、监管前缀、机构事项、任职表达、省略称谓和机构前后联合判断。机构锚点从A/B一致参考答案所支持的原标题机构片段冻结，复用的是机构词而非行号或姓名答案；新样本揭示前不用于补词。省级弱锚点不得覆盖完整机构词，泛化能力仍由后续未用样本检验。</w:t>
      </w:r>
    </w:p>
    <w:p>
      <w:r>
        <w:t>0.1.0历史混合输出为46041姓名、699无姓名、20未决标题，保留原实验文件。0.2.0出口已分离，第一阶段恢复r29纯脚本812标题、871原行未决，是纠正输出口径；新版本以此为改善基线。</w:t>
      </w:r>
    </w:p>
    <w:p>
      <w:r>
        <w:t>0.1.0历史记录：AI A累计覆盖23442个标题，AI B累计覆盖23407个标题；本阶段新增覆盖分别23242和23257个。必需复核23405个，A缺失0个，B缺失0个。</w:t>
      </w:r>
    </w:p>
    <w:p>
      <w:r>
        <w:t>0.1.0历史记录：本阶段新增A、B覆盖分别映射24329和24345个原表行。累计覆盖包含历史标注复用，新增覆盖另计；无效、未决和分歧不会因缓存存在而视为通过。</w:t>
      </w:r>
    </w:p>
    <w:p>
      <w:r>
        <w:t>0.1.0有效A/B工程参考23387标题，其中r29完全匹配22592、脚本未决795、确定差异0。另有35个单渠道及20个分歧或未决，不能计为一致。参考池曾参与规则和机构学习，不是未见测试集。</w:t>
      </w:r>
    </w:p>
    <w:p>
      <w:r>
        <w:t>0.1.0历史记录：已核查的历史匹配样本有156条发生回归变化，其中156条保守转为未决，0条仍为确定输出差异。回归记录依据已有AI参考集合，不等于真实错误率；AI补充输出与规则回归另行统计。</w:t>
      </w:r>
    </w:p>
    <w:p>
      <w:r>
        <w:t>0.1.0历史记录：五组冻结样本各400标题，与当轮独立A参考分别匹配288、326、342、400、400；A/B共同支持的确定输出差异分别15、7、5、0、0。后两组只覆盖剩余普通结构，不能证明复杂结构或总体准确率。</w:t>
      </w:r>
    </w:p>
    <w:p>
      <w:r>
        <w:t>0.1.0 r03在当前参考池有1609确定差异，r29为0。未决不计正确，AI后的历史20标题/22行未决不能代表纯脚本能力。真实准确率未评估，人工检查未执行。</w:t>
      </w:r>
    </w:p>
    <w:p>
      <w:r>
        <w:t>0.1.0历史记录：修订曾引入25条相互保险社简称匹配回归，已恢复；另有历史匹配样本保守转未决，不能声称没有发生过回归。B首答明确边界更正1条，重叠未决候选清理4条，均保留首答与更正理由；原四条来源检查失败不计正常一致。</w:t>
      </w:r>
    </w:p>
    <w:p>
      <w:r>
        <w:t>0.1.0历史记录：逐版修订记录在本次收尾回填，Word在r08、r25及最终更新留有历史；并非每轮都有事前Word更新。r29曾加载旧字节码，原结果已保留，清理生成缓存后重跑；该重复运行不计真实修改轮次。</w:t>
      </w:r>
    </w:p>
    <w:p>
      <w:r>
        <w:t>0.1.0历史记录：已导出待复核版Excel并独立重读核对：52146条记录、13原字段共677898位置的值、顺序、类型与格式保留；677911原单元格XML、107328原XML行、16个其他ZIP成员保留，新增104294单元格与内部输出一致，原工作簿未覆盖。</w:t>
      </w:r>
    </w:p>
    <w:p>
      <w:r>
        <w:t>0.1.0历史记录：当前有效A/B一致且确定的参考池覆盖23387个标题；其中当前脚本的确定输出差异0个。该参考池仍由AI提供，不能推算未覆盖标题或全量真实准确率。</w:t>
      </w:r>
    </w:p>
    <w:p>
      <w:r>
        <w:t>0.1.0历史记录：r03的1609条确定输出差异中，1310条由规则形成与参考匹配的姓名，299条由规则转为未决后由AI补充；不能把1609条全部表述为规则已确定修复。历史156条匹配样本保守转为未决，AI后恢复为141条姓名和15条无姓名。</w:t>
      </w:r>
    </w:p>
    <w:p>
      <w:r>
        <w:t>0.2.0 r38实际加载institution_anchors_r36.json的5243个机构片段，加82个基础锚点共5325。资源及每项原标题来源保存到validation/v2，0.1.0资源未覆盖。完整机构括注按原偏移屏蔽匹配，姓名中的镇、旗等字不再单独触发拒绝；这些机构词是已用数据的工程资源，不证明新机构泛化。</w:t>
      </w:r>
    </w:p>
    <w:p>
      <w:pPr>
        <w:pStyle w:val="Heading1"/>
        <w:pageBreakBefore/>
      </w:pPr>
      <w:r>
        <w:t>九  逐版本规则修订记录</w:t>
      </w:r>
    </w:p>
    <w:p>
      <w:r>
        <w:t>下表核对相邻源码并忽略版本号行，每次真实规则变更只计一行。r04、r05没有独立汇总文件，计数由保存的全量输出重新计算；其余计数取该版全量汇总。未决和硬检查失败不能证明语义准确率，缺失统计标为未留存。逐版记录在本次统一回填，历史独立Word保存在r08、r25及本次更新，不能据此声称每轮均在改代码前同步了Word。</w:t>
      </w:r>
    </w:p>
    <w:tbl>
      <w:tblPr>
        <w:tblW w:type="auto" w:w="0"/>
        <w:tblLayout w:type="fixed"/>
        <w:tblLook w:firstColumn="1" w:firstRow="1" w:lastColumn="0" w:lastRow="0" w:noHBand="0" w:noVBand="1" w:val="04A0"/>
      </w:tblPr>
      <w:tblGrid>
        <w:gridCol w:w="652"/>
        <w:gridCol w:w="6265"/>
        <w:gridCol w:w="1304"/>
        <w:gridCol w:w="1304"/>
      </w:tblGrid>
      <w:tr>
        <w:trPr>
          <w:tblHeader/>
          <w:cantSplit/>
        </w:trPr>
        <w:tc>
          <w:tcPr>
            <w:tcW w:type="dxa" w:w="6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8EDF2"/>
          </w:tcPr>
          <w:p>
            <w:pPr>
              <w:spacing w:after="40" w:line="252" w:lineRule="auto"/>
              <w:jc w:val="center"/>
            </w:pPr>
            <w:r>
              <w:rPr>
                <w:rFonts w:ascii="Arial Unicode MS" w:hAnsi="Arial Unicode MS" w:eastAsia="Hiragino Sans GB"/>
                <w:b/>
                <w:sz w:val="19"/>
              </w:rPr>
              <w:t>版本</w:t>
            </w:r>
          </w:p>
        </w:tc>
        <w:tc>
          <w:tcPr>
            <w:tcW w:type="dxa" w:w="62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8EDF2"/>
          </w:tcPr>
          <w:p>
            <w:pPr>
              <w:spacing w:after="40" w:line="252" w:lineRule="auto"/>
              <w:jc w:val="left"/>
            </w:pPr>
            <w:r>
              <w:rPr>
                <w:rFonts w:ascii="Arial Unicode MS" w:hAnsi="Arial Unicode MS" w:eastAsia="Hiragino Sans GB"/>
                <w:b/>
                <w:sz w:val="19"/>
              </w:rPr>
              <w:t>共同问题与实际规则处理</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8EDF2"/>
          </w:tcPr>
          <w:p>
            <w:pPr>
              <w:spacing w:after="40" w:line="252" w:lineRule="auto"/>
              <w:jc w:val="center"/>
            </w:pPr>
            <w:r>
              <w:rPr>
                <w:rFonts w:ascii="Arial Unicode MS" w:hAnsi="Arial Unicode MS" w:eastAsia="Hiragino Sans GB"/>
                <w:b/>
                <w:sz w:val="19"/>
              </w:rPr>
              <w:t>未决标题</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8EDF2"/>
          </w:tcPr>
          <w:p>
            <w:pPr>
              <w:spacing w:after="40" w:line="252" w:lineRule="auto"/>
              <w:jc w:val="center"/>
            </w:pPr>
            <w:r>
              <w:rPr>
                <w:rFonts w:ascii="Arial Unicode MS" w:hAnsi="Arial Unicode MS" w:eastAsia="Hiragino Sans GB"/>
                <w:b/>
                <w:sz w:val="19"/>
              </w:rPr>
              <w:t>硬失败</w:t>
            </w:r>
          </w:p>
        </w:tc>
      </w:tr>
      <w:tr>
        <w:trPr>
          <w:cantSplit/>
        </w:trPr>
        <w:tc>
          <w:tcPr>
            <w:tcW w:type="dxa" w:w="6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r04</w:t>
            </w:r>
          </w:p>
        </w:tc>
        <w:tc>
          <w:tcPr>
            <w:tcW w:type="dxa" w:w="62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left"/>
            </w:pPr>
            <w:r>
              <w:rPr>
                <w:rFonts w:ascii="Arial Unicode MS" w:hAnsi="Arial Unicode MS" w:eastAsia="Hiragino Sans GB"/>
                <w:b w:val="0"/>
                <w:sz w:val="19"/>
              </w:rPr>
              <w:t>总裁、兼和部门残片可能被当作姓名；补全职务并将残片、单字候选转为未决。</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7430</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0</w:t>
            </w:r>
          </w:p>
        </w:tc>
      </w:tr>
      <w:tr>
        <w:trPr>
          <w:cantSplit/>
        </w:trPr>
        <w:tc>
          <w:tcPr>
            <w:tcW w:type="dxa" w:w="6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r05</w:t>
            </w:r>
          </w:p>
        </w:tc>
        <w:tc>
          <w:tcPr>
            <w:tcW w:type="dxa" w:w="62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left"/>
            </w:pPr>
            <w:r>
              <w:rPr>
                <w:rFonts w:ascii="Arial Unicode MS" w:hAnsi="Arial Unicode MS" w:eastAsia="Hiragino Sans GB"/>
                <w:b w:val="0"/>
                <w:sz w:val="19"/>
              </w:rPr>
              <w:t>和、及、与可能属于姓名或连接多人；较长含连接词候选进入未决。</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7463</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0</w:t>
            </w:r>
          </w:p>
        </w:tc>
      </w:tr>
      <w:tr>
        <w:trPr>
          <w:cantSplit/>
        </w:trPr>
        <w:tc>
          <w:tcPr>
            <w:tcW w:type="dxa" w:w="6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r06</w:t>
            </w:r>
          </w:p>
        </w:tc>
        <w:tc>
          <w:tcPr>
            <w:tcW w:type="dxa" w:w="62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left"/>
            </w:pPr>
            <w:r>
              <w:rPr>
                <w:rFonts w:ascii="Arial Unicode MS" w:hAnsi="Arial Unicode MS" w:eastAsia="Hiragino Sans GB"/>
                <w:b w:val="0"/>
                <w:sz w:val="19"/>
              </w:rPr>
              <w:t>信用社、保险社和部门边界缺失；补齐机构后缀及非人名残片检查。</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7436</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0</w:t>
            </w:r>
          </w:p>
        </w:tc>
      </w:tr>
      <w:tr>
        <w:trPr>
          <w:cantSplit/>
        </w:trPr>
        <w:tc>
          <w:tcPr>
            <w:tcW w:type="dxa" w:w="6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r07</w:t>
            </w:r>
          </w:p>
        </w:tc>
        <w:tc>
          <w:tcPr>
            <w:tcW w:type="dxa" w:w="62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left"/>
            </w:pPr>
            <w:r>
              <w:rPr>
                <w:rFonts w:ascii="Arial Unicode MS" w:hAnsi="Arial Unicode MS" w:eastAsia="Hiragino Sans GB"/>
                <w:b w:val="0"/>
                <w:sz w:val="19"/>
              </w:rPr>
              <w:t>监管机关前缀混入人名；去除银保监局、银监局及监管分局等前缀。</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7436</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0</w:t>
            </w:r>
          </w:p>
        </w:tc>
      </w:tr>
      <w:tr>
        <w:trPr>
          <w:cantSplit/>
        </w:trPr>
        <w:tc>
          <w:tcPr>
            <w:tcW w:type="dxa" w:w="6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r08</w:t>
            </w:r>
          </w:p>
        </w:tc>
        <w:tc>
          <w:tcPr>
            <w:tcW w:type="dxa" w:w="62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left"/>
            </w:pPr>
            <w:r>
              <w:rPr>
                <w:rFonts w:ascii="Arial Unicode MS" w:hAnsi="Arial Unicode MS" w:eastAsia="Hiragino Sans GB"/>
                <w:b w:val="0"/>
                <w:sz w:val="19"/>
              </w:rPr>
              <w:t>修改章程等机构事项进入提取疑点；扩充机构事项识别，形成无姓名候选。</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7374</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0</w:t>
            </w:r>
          </w:p>
        </w:tc>
      </w:tr>
      <w:tr>
        <w:trPr>
          <w:cantSplit/>
        </w:trPr>
        <w:tc>
          <w:tcPr>
            <w:tcW w:type="dxa" w:w="6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r09</w:t>
            </w:r>
          </w:p>
        </w:tc>
        <w:tc>
          <w:tcPr>
            <w:tcW w:type="dxa" w:w="62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left"/>
            </w:pPr>
            <w:r>
              <w:rPr>
                <w:rFonts w:ascii="Arial Unicode MS" w:hAnsi="Arial Unicode MS" w:eastAsia="Hiragino Sans GB"/>
                <w:b w:val="0"/>
                <w:sz w:val="19"/>
              </w:rPr>
              <w:t>机构词不足与兼任残片；补入审查所得机构锚点，识别兼任连接。</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7347</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0</w:t>
            </w:r>
          </w:p>
        </w:tc>
      </w:tr>
      <w:tr>
        <w:trPr>
          <w:cantSplit/>
        </w:trPr>
        <w:tc>
          <w:tcPr>
            <w:tcW w:type="dxa" w:w="6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r10</w:t>
            </w:r>
          </w:p>
        </w:tc>
        <w:tc>
          <w:tcPr>
            <w:tcW w:type="dxa" w:w="62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left"/>
            </w:pPr>
            <w:r>
              <w:rPr>
                <w:rFonts w:ascii="Arial Unicode MS" w:hAnsi="Arial Unicode MS" w:eastAsia="Hiragino Sans GB"/>
                <w:b w:val="0"/>
                <w:sz w:val="19"/>
              </w:rPr>
              <w:t>连接词未决不便复核；形成分段候选，但不据此确认多人。</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7347</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0</w:t>
            </w:r>
          </w:p>
        </w:tc>
      </w:tr>
      <w:tr>
        <w:trPr>
          <w:cantSplit/>
        </w:trPr>
        <w:tc>
          <w:tcPr>
            <w:tcW w:type="dxa" w:w="6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r11</w:t>
            </w:r>
          </w:p>
        </w:tc>
        <w:tc>
          <w:tcPr>
            <w:tcW w:type="dxa" w:w="62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left"/>
            </w:pPr>
            <w:r>
              <w:rPr>
                <w:rFonts w:ascii="Arial Unicode MS" w:hAnsi="Arial Unicode MS" w:eastAsia="Hiragino Sans GB"/>
                <w:b w:val="0"/>
                <w:sz w:val="19"/>
              </w:rPr>
              <w:t>仅有任职而无资格字样的结构漏处理；支持任职语义截取。</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7321</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0</w:t>
            </w:r>
          </w:p>
        </w:tc>
      </w:tr>
      <w:tr>
        <w:trPr>
          <w:cantSplit/>
        </w:trPr>
        <w:tc>
          <w:tcPr>
            <w:tcW w:type="dxa" w:w="6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r12</w:t>
            </w:r>
          </w:p>
        </w:tc>
        <w:tc>
          <w:tcPr>
            <w:tcW w:type="dxa" w:w="62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left"/>
            </w:pPr>
            <w:r>
              <w:rPr>
                <w:rFonts w:ascii="Arial Unicode MS" w:hAnsi="Arial Unicode MS" w:eastAsia="Hiragino Sans GB"/>
                <w:b w:val="0"/>
                <w:sz w:val="19"/>
              </w:rPr>
              <w:t>合规、风险管理及括号职务残留；补齐职务，仅括号说明时保留未决。</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7439</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0</w:t>
            </w:r>
          </w:p>
        </w:tc>
      </w:tr>
      <w:tr>
        <w:trPr>
          <w:cantSplit/>
        </w:trPr>
        <w:tc>
          <w:tcPr>
            <w:tcW w:type="dxa" w:w="6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r13</w:t>
            </w:r>
          </w:p>
        </w:tc>
        <w:tc>
          <w:tcPr>
            <w:tcW w:type="dxa" w:w="62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left"/>
            </w:pPr>
            <w:r>
              <w:rPr>
                <w:rFonts w:ascii="Arial Unicode MS" w:hAnsi="Arial Unicode MS" w:eastAsia="Hiragino Sans GB"/>
                <w:b w:val="0"/>
                <w:sz w:val="19"/>
              </w:rPr>
              <w:t>等同志及两位同志等称谓残留；去除省略和称谓，只保留明示姓名。</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7437</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0</w:t>
            </w:r>
          </w:p>
        </w:tc>
      </w:tr>
      <w:tr>
        <w:trPr>
          <w:cantSplit/>
        </w:trPr>
        <w:tc>
          <w:tcPr>
            <w:tcW w:type="dxa" w:w="6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r14</w:t>
            </w:r>
          </w:p>
        </w:tc>
        <w:tc>
          <w:tcPr>
            <w:tcW w:type="dxa" w:w="62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left"/>
            </w:pPr>
            <w:r>
              <w:rPr>
                <w:rFonts w:ascii="Arial Unicode MS" w:hAnsi="Arial Unicode MS" w:eastAsia="Hiragino Sans GB"/>
                <w:b w:val="0"/>
                <w:sz w:val="19"/>
              </w:rPr>
              <w:t>对某人任职资格审核的介词残留；移除审核结构前导对字。</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7437</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0</w:t>
            </w:r>
          </w:p>
        </w:tc>
      </w:tr>
      <w:tr>
        <w:trPr>
          <w:cantSplit/>
        </w:trPr>
        <w:tc>
          <w:tcPr>
            <w:tcW w:type="dxa" w:w="6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r15</w:t>
            </w:r>
          </w:p>
        </w:tc>
        <w:tc>
          <w:tcPr>
            <w:tcW w:type="dxa" w:w="62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left"/>
            </w:pPr>
            <w:r>
              <w:rPr>
                <w:rFonts w:ascii="Arial Unicode MS" w:hAnsi="Arial Unicode MS" w:eastAsia="Hiragino Sans GB"/>
                <w:b w:val="0"/>
                <w:sz w:val="19"/>
              </w:rPr>
              <w:t>括号内文字影响连接判断；只按括号外长度检查，不切和田智岳等姓名。</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7434</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0</w:t>
            </w:r>
          </w:p>
        </w:tc>
      </w:tr>
      <w:tr>
        <w:trPr>
          <w:cantSplit/>
        </w:trPr>
        <w:tc>
          <w:tcPr>
            <w:tcW w:type="dxa" w:w="6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r16</w:t>
            </w:r>
          </w:p>
        </w:tc>
        <w:tc>
          <w:tcPr>
            <w:tcW w:type="dxa" w:w="62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left"/>
            </w:pPr>
            <w:r>
              <w:rPr>
                <w:rFonts w:ascii="Arial Unicode MS" w:hAnsi="Arial Unicode MS" w:eastAsia="Hiragino Sans GB"/>
                <w:b w:val="0"/>
                <w:sz w:val="19"/>
              </w:rPr>
              <w:t>升格、更名等机构事项遮蔽姓名；去除机构后事项词，再判断人名。</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7433</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0</w:t>
            </w:r>
          </w:p>
        </w:tc>
      </w:tr>
      <w:tr>
        <w:trPr>
          <w:cantSplit/>
        </w:trPr>
        <w:tc>
          <w:tcPr>
            <w:tcW w:type="dxa" w:w="6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r17</w:t>
            </w:r>
          </w:p>
        </w:tc>
        <w:tc>
          <w:tcPr>
            <w:tcW w:type="dxa" w:w="62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left"/>
            </w:pPr>
            <w:r>
              <w:rPr>
                <w:rFonts w:ascii="Arial Unicode MS" w:hAnsi="Arial Unicode MS" w:eastAsia="Hiragino Sans GB"/>
                <w:b w:val="0"/>
                <w:sz w:val="19"/>
              </w:rPr>
              <w:t>人寿、财险、养老、中支等简称边界缺失；补充后缀及机构锚点。</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7581</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0</w:t>
            </w:r>
          </w:p>
        </w:tc>
      </w:tr>
      <w:tr>
        <w:trPr>
          <w:cantSplit/>
        </w:trPr>
        <w:tc>
          <w:tcPr>
            <w:tcW w:type="dxa" w:w="6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r18</w:t>
            </w:r>
          </w:p>
        </w:tc>
        <w:tc>
          <w:tcPr>
            <w:tcW w:type="dxa" w:w="62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left"/>
            </w:pPr>
            <w:r>
              <w:rPr>
                <w:rFonts w:ascii="Arial Unicode MS" w:hAnsi="Arial Unicode MS" w:eastAsia="Hiragino Sans GB"/>
                <w:b w:val="0"/>
                <w:sz w:val="19"/>
              </w:rPr>
              <w:t>陌生机构起点无法确定；加载A/B参考支持的288个机构锚点，保留来源。</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4795</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0</w:t>
            </w:r>
          </w:p>
        </w:tc>
      </w:tr>
      <w:tr>
        <w:trPr>
          <w:cantSplit/>
        </w:trPr>
        <w:tc>
          <w:tcPr>
            <w:tcW w:type="dxa" w:w="6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r19</w:t>
            </w:r>
          </w:p>
        </w:tc>
        <w:tc>
          <w:tcPr>
            <w:tcW w:type="dxa" w:w="62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left"/>
            </w:pPr>
            <w:r>
              <w:rPr>
                <w:rFonts w:ascii="Arial Unicode MS" w:hAnsi="Arial Unicode MS" w:eastAsia="Hiragino Sans GB"/>
                <w:b w:val="0"/>
                <w:sz w:val="19"/>
              </w:rPr>
              <w:t>机构锚点继续补充修正；冻结292个机构词，不使用行号或姓名答案表。</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5326</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0</w:t>
            </w:r>
          </w:p>
        </w:tc>
      </w:tr>
      <w:tr>
        <w:trPr>
          <w:cantSplit/>
        </w:trPr>
        <w:tc>
          <w:tcPr>
            <w:tcW w:type="dxa" w:w="6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r20</w:t>
            </w:r>
          </w:p>
        </w:tc>
        <w:tc>
          <w:tcPr>
            <w:tcW w:type="dxa" w:w="62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left"/>
            </w:pPr>
            <w:r>
              <w:rPr>
                <w:rFonts w:ascii="Arial Unicode MS" w:hAnsi="Arial Unicode MS" w:eastAsia="Hiragino Sans GB"/>
                <w:b w:val="0"/>
                <w:sz w:val="19"/>
              </w:rPr>
              <w:t>地区弱锚点、括号职务及的字干扰；优先完整机构，保留歧义未决。</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5397</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0</w:t>
            </w:r>
          </w:p>
        </w:tc>
      </w:tr>
      <w:tr>
        <w:trPr>
          <w:cantSplit/>
        </w:trPr>
        <w:tc>
          <w:tcPr>
            <w:tcW w:type="dxa" w:w="6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r21</w:t>
            </w:r>
          </w:p>
        </w:tc>
        <w:tc>
          <w:tcPr>
            <w:tcW w:type="dxa" w:w="62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left"/>
            </w:pPr>
            <w:r>
              <w:rPr>
                <w:rFonts w:ascii="Arial Unicode MS" w:hAnsi="Arial Unicode MS" w:eastAsia="Hiragino Sans GB"/>
                <w:b w:val="0"/>
                <w:sz w:val="19"/>
              </w:rPr>
              <w:t>弱锚点优先级过宽；仅排除与完整机构重叠的地区锚点。</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5395</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0</w:t>
            </w:r>
          </w:p>
        </w:tc>
      </w:tr>
      <w:tr>
        <w:trPr>
          <w:cantSplit/>
        </w:trPr>
        <w:tc>
          <w:tcPr>
            <w:tcW w:type="dxa" w:w="6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r22</w:t>
            </w:r>
          </w:p>
        </w:tc>
        <w:tc>
          <w:tcPr>
            <w:tcW w:type="dxa" w:w="62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left"/>
            </w:pPr>
            <w:r>
              <w:rPr>
                <w:rFonts w:ascii="Arial Unicode MS" w:hAnsi="Arial Unicode MS" w:eastAsia="Hiragino Sans GB"/>
                <w:b w:val="0"/>
                <w:sz w:val="19"/>
              </w:rPr>
              <w:t>机构覆盖不足；按独立参考片段冻结604个机构锚点。</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3990</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0</w:t>
            </w:r>
          </w:p>
        </w:tc>
      </w:tr>
      <w:tr>
        <w:trPr>
          <w:cantSplit/>
        </w:trPr>
        <w:tc>
          <w:tcPr>
            <w:tcW w:type="dxa" w:w="6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r23</w:t>
            </w:r>
          </w:p>
        </w:tc>
        <w:tc>
          <w:tcPr>
            <w:tcW w:type="dxa" w:w="62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left"/>
            </w:pPr>
            <w:r>
              <w:rPr>
                <w:rFonts w:ascii="Arial Unicode MS" w:hAnsi="Arial Unicode MS" w:eastAsia="Hiragino Sans GB"/>
                <w:b w:val="0"/>
                <w:sz w:val="19"/>
              </w:rPr>
              <w:t>部门和末尾等字残留；补齐部门结构，机构后疑点不误判无姓名。</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4048</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0</w:t>
            </w:r>
          </w:p>
        </w:tc>
      </w:tr>
      <w:tr>
        <w:trPr>
          <w:cantSplit/>
        </w:trPr>
        <w:tc>
          <w:tcPr>
            <w:tcW w:type="dxa" w:w="6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r24</w:t>
            </w:r>
          </w:p>
        </w:tc>
        <w:tc>
          <w:tcPr>
            <w:tcW w:type="dxa" w:w="62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left"/>
            </w:pPr>
            <w:r>
              <w:rPr>
                <w:rFonts w:ascii="Arial Unicode MS" w:hAnsi="Arial Unicode MS" w:eastAsia="Hiragino Sans GB"/>
                <w:b w:val="0"/>
                <w:sz w:val="19"/>
              </w:rPr>
              <w:t>职工董事及合规部门不完整；补全职务部门，保护银行长春机构文字。</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4089</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0</w:t>
            </w:r>
          </w:p>
        </w:tc>
      </w:tr>
      <w:tr>
        <w:trPr>
          <w:cantSplit/>
        </w:trPr>
        <w:tc>
          <w:tcPr>
            <w:tcW w:type="dxa" w:w="6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r25</w:t>
            </w:r>
          </w:p>
        </w:tc>
        <w:tc>
          <w:tcPr>
            <w:tcW w:type="dxa" w:w="62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left"/>
            </w:pPr>
            <w:r>
              <w:rPr>
                <w:rFonts w:ascii="Arial Unicode MS" w:hAnsi="Arial Unicode MS" w:eastAsia="Hiragino Sans GB"/>
                <w:b w:val="0"/>
                <w:sz w:val="19"/>
              </w:rPr>
              <w:t>信息科技、审计职务和机构间片段遗漏；补齐边界，任字及中间人名待复核。</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4119</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0</w:t>
            </w:r>
          </w:p>
        </w:tc>
      </w:tr>
      <w:tr>
        <w:trPr>
          <w:cantSplit/>
        </w:trPr>
        <w:tc>
          <w:tcPr>
            <w:tcW w:type="dxa" w:w="6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r26</w:t>
            </w:r>
          </w:p>
        </w:tc>
        <w:tc>
          <w:tcPr>
            <w:tcW w:type="dxa" w:w="62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left"/>
            </w:pPr>
            <w:r>
              <w:rPr>
                <w:rFonts w:ascii="Arial Unicode MS" w:hAnsi="Arial Unicode MS" w:eastAsia="Hiragino Sans GB"/>
                <w:b w:val="0"/>
                <w:sz w:val="19"/>
              </w:rPr>
              <w:t>简称、称谓及多个任职片段遗漏；扩充完整职务部门，多片段进入未决。</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4128</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0</w:t>
            </w:r>
          </w:p>
        </w:tc>
      </w:tr>
      <w:tr>
        <w:trPr>
          <w:cantSplit/>
        </w:trPr>
        <w:tc>
          <w:tcPr>
            <w:tcW w:type="dxa" w:w="6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r27</w:t>
            </w:r>
          </w:p>
        </w:tc>
        <w:tc>
          <w:tcPr>
            <w:tcW w:type="dxa" w:w="62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left"/>
            </w:pPr>
            <w:r>
              <w:rPr>
                <w:rFonts w:ascii="Arial Unicode MS" w:hAnsi="Arial Unicode MS" w:eastAsia="Hiragino Sans GB"/>
                <w:b w:val="0"/>
                <w:sz w:val="19"/>
              </w:rPr>
              <w:t>相互保险社被从保险社处截断；补充完整机构后缀。</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4131</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0</w:t>
            </w:r>
          </w:p>
        </w:tc>
      </w:tr>
      <w:tr>
        <w:trPr>
          <w:cantSplit/>
        </w:trPr>
        <w:tc>
          <w:tcPr>
            <w:tcW w:type="dxa" w:w="6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r28</w:t>
            </w:r>
          </w:p>
        </w:tc>
        <w:tc>
          <w:tcPr>
            <w:tcW w:type="dxa" w:w="62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left"/>
            </w:pPr>
            <w:r>
              <w:rPr>
                <w:rFonts w:ascii="Arial Unicode MS" w:hAnsi="Arial Unicode MS" w:eastAsia="Hiragino Sans GB"/>
                <w:b w:val="0"/>
                <w:sz w:val="19"/>
              </w:rPr>
              <w:t>连续汉字长候选及陌生机构；保留长候选为未决，不按长度猜拆，冻结3244机构词。</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788</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0</w:t>
            </w:r>
          </w:p>
        </w:tc>
      </w:tr>
      <w:tr>
        <w:trPr>
          <w:cantSplit/>
        </w:trPr>
        <w:tc>
          <w:tcPr>
            <w:tcW w:type="dxa" w:w="6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r29</w:t>
            </w:r>
          </w:p>
        </w:tc>
        <w:tc>
          <w:tcPr>
            <w:tcW w:type="dxa" w:w="62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left"/>
            </w:pPr>
            <w:r>
              <w:rPr>
                <w:rFonts w:ascii="Arial Unicode MS" w:hAnsi="Arial Unicode MS" w:eastAsia="Hiragino Sans GB"/>
                <w:b w:val="0"/>
                <w:sz w:val="19"/>
              </w:rPr>
              <w:t>机构在姓名前、人数及多职务片段；扩充4984机构词，移除泛称锚点，疑点不只取首人。</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812</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0</w:t>
            </w:r>
          </w:p>
        </w:tc>
      </w:tr>
    </w:tbl>
    <w:p>
      <w:r>
        <w:t>r30共同结构修订：高管、商业银行高级管理人员等群体职务作为完整岗位边界；补足部门负责人整体识别，避免姓名尾部残片。缺少任职资格但有明确机构及职务的批复按岗位结构定位；行政许可决定书和终止审查通知书按无明示姓名处理。多人、长姓名及未知机构仍保守留未决。</w:t>
      </w:r>
    </w:p>
    <w:p>
      <w:r>
        <w:t>r31修正r30全量比较暴露的回归：岗位从最长完整部门及职务表达开始识别，不从财务部或合规部中间切入；机构检索止于岗位前，防止银行业金融机构等群体职务误当机构。缺少标准后缀的机构事项优先保持无姓名；董事资格等后缀不进入候选，任加明确岗位作为动词。完整已知机构前的姓名优先于机构后的岗位残片。</w:t>
      </w:r>
    </w:p>
    <w:p>
      <w:r>
        <w:t>r32机构边界修订：沿用冻结共识中明示姓名前后机构片段，允许机构本身的和字及地区括注进入机构资源，保存每项来源；不得包含姓名或按行号填值。完整机构前定位同时考虑位于开头的地区锚点，避免将江西或英大泰识别为姓名。变更董事按机构事项保留无姓名。</w:t>
      </w:r>
    </w:p>
    <w:p>
      <w:r>
        <w:t>r33特殊边界修订：机构锚点与标题同时屏蔽括注后按原始偏移匹配，保护中英文同人别名和机构地区括注；明确完整机构前候选含镇、旗等字时不再仅凭这些字否决。中点分隔的长姓名保留整段，不凭四字上限拒绝；括号全半角混用但层次完整时保留原标题。连续汉字长片段和无明示人数的和及与歧义仍未决。</w:t>
      </w:r>
    </w:p>
    <w:p>
      <w:r>
        <w:t>r34修订：DR.为英文头衔，去除后保留姓名原文；拉丁字母重音允许作为姓名字符，字数仍只计汉字和ASCII英文字母。补充财务公司简称、审计中心及分中心边界并保存机构来源。升格、改建、机构地址或章程变更等明确机构事项无明示姓名；仅明示人数的机构职务不作为人名。仍不对纯连续长姓名或缺失批复对象猜切。</w:t>
      </w:r>
    </w:p>
    <w:p>
      <w:r>
        <w:t>r35边界修订：将财务总监、财务会计部及完整风险合规部门岗位纳入最长岗位识别，防止财务简称误吞姓名。营业部与电话销售中心作为机构末级边界。等N位理事等人数省略标记只保留前面的明示姓名。多个完整任职资格从句逐句提取后按原顺序合并；没有明确从句边界仍保留未决。</w:t>
      </w:r>
    </w:p>
    <w:p>
      <w:r>
        <w:t>r36修订：营业部前明确道路、方位区域和编号作为部门地址片段，机构后岗位前保留真实被批复人；机构及姓名后的部门机构词共同纳入有来源的边界学习，避免仅依据末级机构遗漏中间姓名。内部审计部负责人按整体岗位识别。无明确人数或从句边界的连写多人和长汉字片段仍未决。</w:t>
      </w:r>
    </w:p>
    <w:p>
      <w:r>
        <w:t>r37修订：注销任职资格行政许可决定的通知也以标题中的明示被批复人为对象，注销等行政动作不属于姓名，统一从批复前缀去除。该规则依据r36新增确定差异，不按具体行号或姓名处理。</w:t>
      </w:r>
    </w:p>
    <w:p>
      <w:r>
        <w:t>r38盲标发现后的修订：无机构语境下姓名尾部任字紧接高级管理人员或高管群体称谓时，任字可能是姓名尾字或任职动词，脚本保留整段候选并标未决，不确定性猜切。独立A/B小批次21标题一致，其中未覆盖变化标题发现一项该歧义；这属于新增风险转未决，不计确定错误修复。新样本普通结构检验仍以冻结r37为基准，揭示后转回归。</w:t>
      </w:r>
    </w:p>
    <w:p>
      <w:r>
        <w:t>0.2.0阶段验证结论：在固定0.1.0有效A/B参考23387标题内，完全匹配23235、脚本未决152、确定差异0，0.1.0已匹配样本无剩余回归。本轮迭代曾在38个不同标题引入确定参考差异，均已修复，不声称迭代全程无回归。新100个普通未见标题与冻结r37及双通道参考全部匹配；该结论不覆盖新复杂结构或全量真实准确率。</w:t>
      </w:r>
    </w:p>
    <w:p>
      <w:r>
        <w:t>0.2.0历史20个争议盲标为17个双通道未决、2个新共识、1个A/B分歧，未按多数票关闭既有疑点。0.3.0五个原确定输出风险均因标题依据不足，由通用规则转为脚本未决。历史首答及更正不覆盖，AI不替换Excel结果。</w:t>
      </w:r>
    </w:p>
    <w:p>
      <w:pPr>
        <w:pStyle w:val="Heading1"/>
      </w:pPr>
      <w:r>
        <w:t>十  0.3.0 阶段实施</w:t>
      </w:r>
    </w:p>
    <w:p>
      <w:r>
        <w:t>以0.2.0 r38及Git提交a539f58为相邻基线，保留原阶段材料。最终求职测试仍要求超过99.8%，52146行最多允许104行错误；原177行未决如全部计错，即使其他记录全对也至少需要减少73行。阶段完成不等于最终验收，剩余歧义、准确率证据及人工检查缺口必须继续披露。</w:t>
      </w:r>
    </w:p>
    <w:p>
      <w:r>
        <w:t>r39方案修订：外文姓名候选中括号外逗号不能证明是同一人的多名或多人并列，保留完整候选且转未决；括号内别名逗号继续保留。机构后姓名候选以孤立行字起头时，行可能为机构或职务残片，保守转未决。人物在泛称金融机构前且为四字以上无分隔汉字时，不能排除姓名与未明示地区的连写，转未决。扩查全部同类原标题，不按具体姓名或行号处理。</w:t>
      </w:r>
    </w:p>
    <w:p>
      <w:r>
        <w:t>r40方案修订：先识别引用任职资格管理规定的规范性通知与监管委员会令，这些标题未明示被批复人，不从法规名称截取姓名。拟任资格及明确岗位资格作为后缀；完整岗位包含法律合规部负责人、内审合规部总经理和协会会长，避免中途切出法律等残片。仅有核准姓名的批复按完整对象提取，机构名或长片段仍按原边界规则保守处理。重复粘贴的完整批复或岗位后缀仅在两个部分逐字相同的条件下合并，不丢失不同任职人。</w:t>
      </w:r>
    </w:p>
    <w:p>
      <w:r>
        <w:t>r41方案修订：复用固定双渠道参考支持的机构完整片段。姓名参考可支持明确岗位前的机构简称；无姓名参考仅支持以机构后缀结束的完整机构及分支，不将姓名或行号写入资源。资源学习排除8个尚未揭示的新标题。全机构已覆盖且余下只有明确职务或开业连接时可判无姓名；机构前后存在多个人物片段则继续保守。完整岗位之间由标点明确分开的任职从句逐句处理。泛称金融机构前的长汉字边界规则同时作用于完整锚点前的路径，避免提前返回遗漏疑点。</w:t>
      </w:r>
    </w:p>
    <w:p>
      <w:r>
        <w:t>r42方案修订：r41全量回归发现70个确定姓名被提前判为空：机构前的片段匹配不能证明岗位后没有姓名。无姓名判定必须继续消费全部剩余岗位和履职括注，并确认没有人物片段；以完整标题覆盖而非岗位前截断为准。有来源的母机构和末级机构之间若留有完整人物片段，则检查中间姓名。补充联社主任完整岗位；无任职后缀但整个标题仅为有来源的完整机构时按标题未明示姓名处理。</w:t>
      </w:r>
    </w:p>
    <w:p>
      <w:r>
        <w:t>r43方案修订：r42发现联社主任整体岗位会截断农村信用合作联社等机构名，删除该全局岗位词；仅在明确母机构之后、重复的联社职务前检查中间人物。同类新增的70个历史匹配转未决必须恢复，并继续全量比较。机构事项增加保险兼业代理业务资格申请及董事长变更备案；等字紧接明确群体岗位时按省略标记处理。候选边缘的零宽格式控制字符仅去除不可见格式，姓名内部字符和未定义私用字仍保留并未决。</w:t>
      </w:r>
    </w:p>
    <w:p>
      <w:r>
        <w:t>r44方案修订：收尾复核发现裸核准对象规则新产生1个历史AI争议的确定输出。关于核准某对象的批复没有任职、岗位或称谓语义时，标题不足区分个人姓名和机构简称；这类对象统一保留候选并未决，不通过姓名词库、长度或行号关闭路达争议。r43冻结后的8个真实未用标题盲测全部匹配，两上下文共16份新判断，结构仅覆盖文号、重复尾句及缺失标准后缀，不推广至多机构或中外文复杂泛化。揭示样本转回归，r44重测不记新未见试验。</w:t>
      </w:r>
    </w:p>
    <w:p>
      <w:pPr>
        <w:pStyle w:val="Heading1"/>
      </w:pPr>
      <w:r>
        <w:t>十一  0.3.0 阶段验证结论</w:t>
      </w:r>
    </w:p>
    <w:p>
      <w:r>
        <w:t>0.3.0 r44纯脚本全量为姓名45945标题/51255行，无姓名694标题/761行，未决121标题/130行。相对0.2.0，23个未决转姓名、31个转无姓名、7个确定输出转未决，另4个未决候选改变；净减少47个标题和47条原行。五项原AI风险全部转未决，不能称其已验证正确。</w:t>
      </w:r>
    </w:p>
    <w:p>
      <w:r>
        <w:t>固定0.1.0共识参考保持23387分母，完全匹配23287、脚本未决100、确定姓名差异0、无姓名争议0。r38历史匹配38243及44406因外文括号外逗号转未决，明确披露不静默忽略。r41曾引入70个确定参考无姓名差异，r42修复；r42联社主任规则引入70个历史匹配转未决，r43修复。r44统一收紧4个裸核准标题的确定性，最终确定输出AI争议0。</w:t>
      </w:r>
    </w:p>
    <w:p>
      <w:r>
        <w:t>独立原始结构筛查得到8个真实未用异常结构标题，分别为2个缺少完整后缀、5个文号异常字符、1个重复尾句。冻结r43和机构资源后，两个独立gpt-6.1-sol/medium上下文共16份新判断全部与脚本匹配，未决/分歧/确定差异均0。r44重测仍全匹配，仅记工程回归。没有多机构、连接词或中外文复杂新样本，复杂泛化证据仍有限。</w:t>
      </w:r>
    </w:p>
    <w:p>
      <w:r>
        <w:t>当前实际加载institution_anchors_r41.json的12271个机构片段，加82个基础锚点共12353。新增资源来自双渠道无姓名参考支持的完整机构和分支，以及姓名参考支持的岗位前机构简称；逐项原标题来源保留，未揭示8个验证标题从学习排除，r36原资源完整沿用。机构资源不包含姓名或行号答案表，也不证明全量准确率。</w:t>
      </w:r>
    </w:p>
    <w:p>
      <w:r>
        <w:t>20项测试通过，全量硬合同失败0。输出副本保留52146条记录、13原字段及格式，677898字段位置与677911原单元格XML均经核对，107328原XML行及16个其他ZIP成员保持，104294新增单元格逐项等于脚本输入。代表行另作视觉核对，机械验证不证明姓名语义准确率。</w:t>
      </w:r>
    </w:p>
    <w:p>
      <w:r>
        <w:t>最终求职测试仍要求超过99.8%，最多104行错误。如果130行未决全部计错，且其他行全部正确，最高约99.75%，至少仍需可靠解决26行才有达到门槛的可能。真实准确率未评估，复杂新样本覆盖仍不足，原邮件人工检查未执行。0.3.0可结束为待复核阶段成果，不能据此宣称最终交付达标或向HR发送。</w:t>
      </w:r>
    </w:p>
    <w:p>
      <w:pPr>
        <w:pStyle w:val="Heading1"/>
      </w:pPr>
      <w:r>
        <w:t>十二  姓名提取结构约束研究</w:t>
      </w:r>
    </w:p>
    <w:p>
      <w:r>
        <w:t>2026年10月12日继续优化。目标是提高真实准确性、可可靠识别的覆盖率及泛化能力；不以招聘期限、最低门槛或未决数量为停止依据。明确边界冲突继续保留未决，AI首答只作独立验证，Excel仍完全由脚本提取。</w:t>
      </w:r>
    </w:p>
    <w:p>
      <w:r>
        <w:t>r45方案修订：将已验证机构片段中的母机构与分支层级分别登记，以有原标题来源的完整机构支持母机构前的姓名边界，不引入姓名词典。机构开业并核准姓名属于两个事项，使用机构、开业动作、并核准许可动作、姓名位置共同约束边界；只消费明确开业事项，不泛化到任意并字。所有新能力均需全量比较，历史正确结果的状态与姓名同时回归。</w:t>
      </w:r>
    </w:p>
    <w:p>
      <w:r>
        <w:t>r46方案修订：机构匹配使用保留所有原标题位置的前缀树，汇总母机构和分支边界后再判断。对确定输出增加完整结构竞争检查：分别检查机构前主体与机构岗位后主体；候选必须消费完整岗位后缀，不能用首个岗位截断证明后面没有人。两种完整结构产生不同主体时保留未决，并显式记录边界冲突。已有未决不因单一更宽松正则晋升。全量原始结构筛查和新合成压力样本用于发现未知结构，合成结果不作为真实未见标题准确率。</w:t>
      </w:r>
    </w:p>
    <w:p>
      <w:r>
        <w:t>r47方案修订：先识别完整岗位及类别修饰语，再划姓名边界。金融高级管理人员中的金融是岗位类别修饰语，不能并入呼天智等姓名候选；金融机构董事会秘书、董事长等复合岗位按完整表达识别。与机构前后主体竞争检查联合使用，新增复合岗位需全量回归并检查确定姓名是否退化。</w:t>
      </w:r>
    </w:p>
    <w:p>
      <w:r>
        <w:t>r47验证修正：新组合暴露母机构后未知地区分公司的主体竞争漏检。母机构锚点只证明起点，完整分支后缀证明机构终点；两者联合覆盖新地区分支后再检查岗位后姓名。分支后缀不足时不猜填，不将机构前后两个主体只保留第一个。</w:t>
      </w:r>
    </w:p>
    <w:p>
      <w:r>
        <w:t>r48方案修订：完整解析明示分项。先在括号外按顿号或分号拆分候选子句，再分别检查姓名、机构和岗位，全部子句都有可确认主体时才合并原序姓名；只含岗位的后项仍按一人多职处理。书名号内任职资格属于引用，不能抢占书名号外具名许可事项。行政文书或规范通知的类型不证明无姓名，有明确称谓及完整文书结构时仍检查明示主体。四字连续姓名与连写多人无法由长度区分，保留能力限制，不建姓氏表。对原标题中核准动词缺字或拟任结构的真实歧义另作盲复核，未取得足够证据之前不猜答。</w:t>
      </w:r>
    </w:p>
    <w:p>
      <w:r>
        <w:t>r48回归修正：全量回归发现风险官未登记为岗位，新分项解析把李斌的第二岗位误当第二姓名。补全风险官岗位及独立检查器的残片提示，并固定此真实反例；不把全量迭代每一步称为无回归。机构结束片段与财务总监、财务会计部等完整岗位重叠时由岗位结构约束其角色，禁止作为机构终点。</w:t>
      </w:r>
    </w:p>
    <w:p>
      <w:r>
        <w:t>r49方案修订：原标题中的姓名的任职资格是完整名词修饰结构，资格前的连接词的在结构层剥离，不能计入姓名与姓名字数。独立盲判断支持王保东、周明、刘梦仙三个真实实例，规则对所有相同结构通用。核字单独置于被核准对象开头而未构成核准动词，或拟字处在拟任职资格与姓名末尾的交界时，存在许可动作残片与原姓名两种解析，保留未决。四字完整片段与两人连写的歧义尚不能用当前结构可靠解决，另列语义风险，不用具体标题或姓名特判。</w:t>
      </w:r>
    </w:p>
    <w:p>
      <w:r>
        <w:t>r50方案修订：冻结r48后的36个新组合检验暴露岗位列表中间插项与新地区分支问题。分项处理改为逐项角色归属：完整岗位项依附前一主体，完整机构表头提供后续名单上下文，所有其他项均须可确认姓名。开业并核准后的整个许可子句递归解析，不在首个岗位处截断；已登记母机构与明确分支后缀共同支持新分支开业结构。未知分支仅靠后缀不能证明无姓名，仍不据此扩大无姓名判定。揭示后36样本转开发回归；其中连续四字与同人多人关系争议仍显式披露。</w:t>
      </w:r>
    </w:p>
    <w:p>
      <w:r>
        <w:t>r51方案修订：24个冻结新组合揭示机构表头冒号或双破折号、括号内明确董事名单尚未解析。仅在已登记母机构及完整机构后缀的上下文成立时，将冒号或双破折号后的主体名单递归解析；括号内容必须明确写明岗位名单及冒号，才按名单处理，普通姓名别名、履职备注和数字说明仍沿用原语义。不因机构标题可能无姓名就忽略明示名单。24个样本揭示后转回归，不重复称未见检验。</w:t>
      </w:r>
    </w:p>
    <w:p>
      <w:pPr>
        <w:pStyle w:val="Heading1"/>
      </w:pPr>
      <w:r>
        <w:t>十三  结构优化验证结果与剩余限制</w:t>
      </w:r>
    </w:p>
    <w:p>
      <w:r>
        <w:t>r45至r51全量回归后，相对r44共8个标题变化：3个原未决转姓名，3个静默的字边界错误修正，2个新动作残片风险转未决。当前姓名45946标题51256行，无姓名694标题761行，脚本未决120标题129行。固定23387旧参考匹配23289、未决98、确定差异0；相对r44旧参考匹配无新增退化。23项业务与出口测试通过，逐行Excel为纯脚本结果。</w:t>
      </w:r>
    </w:p>
    <w:p>
      <w:r>
        <w:t>121原未决与409个确定或无姓名标题均有两通道首答；12项盲分歧用机构来源和完整姓名槽位复核后保存显式更正，未覆盖首答。全量原标题结构筛查发现两个动作残片风险已转未决，另两个真实四字输出王夏春子和殷熊毅辉仍为AI语义未决。当前107个四字确定输出已全部标人数风险，未以个别姓名或行号特判；这些风险尚未解决，不能称自查错误归零。</w:t>
      </w:r>
    </w:p>
    <w:p>
      <w:r>
        <w:t>48个合成开发样本的45个一致参考由21匹配提升到44；冻结后的36个新组合中35个一致参考由26提升到32；再冻结后的24个新组合由18提升到21。各组揭示后均转开发回归，改善后的重测不计真实未见证据。剩余失败为四字人数歧义与未知分支保守未决，不隐去失败，也不把合成匹配率当真实数据准确率。</w:t>
      </w:r>
    </w:p>
    <w:p>
      <w:r>
        <w:t>r47机构与财务岗位重叠曾使23个历史结果转未决，r48未知风险官岗位曾被误列为第二姓名；均通过全量回归发现并修正，拒绝尝试保留。真实准确率未评估，复杂真实未见泛化证据不足，原邮件人工检查未完成。本阶段成果继续待复核，没有向HR或他人发送。下一轮重点研究四字人数边界的通用可靠证据与弃权策略，不以未决减少目标替代准确性。</w:t>
      </w:r>
    </w:p>
    <w:p>
      <w:pPr>
        <w:pStyle w:val="Heading1"/>
      </w:pPr>
      <w:r>
        <w:t>十四  姓名人数结构与已诊断歧义的弃权</w:t>
      </w:r>
    </w:p>
    <w:p>
      <w:r>
        <w:t>四字长度只作风险筛查，不直接决定是否未决。复姓、民族或日文姓名形态只能作辅助线索，不能从逻辑上证明单人。分别、精确人数、名单标点、完整机构与岗位子句共同约束候选；不能简单按两个字拆分连续片段。没有精确人数或具体冲突的完整姓名槽位，按用户选定口径保留提取结果，但不宣称内部人数已证明。</w:t>
      </w:r>
    </w:p>
    <w:p>
      <w:r>
        <w:t>精确人数仅在括号外的完整人员子句中绑定：一人、1人、全角数字、N位同志、N名同志或共N人之后只能接完整岗位或任职资格。机构名里的数字、括号备注和等N人不是已列姓名的精确人数。等N人只提取等前明示姓名；完整名单与人数冲突时未决。各个子句的局部人数分别处理，共或合计明示的总数才用于合并名单。</w:t>
      </w:r>
    </w:p>
    <w:p>
      <w:r>
        <w:t>精确一人可以解除完整候选内部的长度或连接字歧义，保留姓名原表达，包括四字、长姓名及含和字的姓名；不能解除机构前后主体竞争。精确多人结合明确连接词或名单边界，可以确认多个完整姓名；只有连续字符而缺边界时，即使明示两人也保留原片段并未决。分别及明确担任或资格结构提供复数证据，但不提供连写片段的切分位置。</w:t>
      </w:r>
    </w:p>
    <w:p>
      <w:r>
        <w:t>对已独立复核仍存在真实人数歧义的标题，版本化title_ambiguities_r55.json保存弃权记录及证据路径。当前7条记录为2个真实标题和5个历史合成题，仅将原提取结果的确定状态改为未决，不提供姓名、人数或拆分答案。该记录是透明的定向例外，不是通用姓名识别规则；完整原标题命中才生效，不自动覆盖其他表达。它不使用行号、姓氏或个别四字姓名白名单，也不在运行时调用模型或读取AI标签来回填姓名。新增精确人数的标题由通用规则重新判断，不受原例外强制弃权。</w:t>
      </w:r>
    </w:p>
    <w:p>
      <w:pPr>
        <w:pStyle w:val="Heading1"/>
      </w:pPr>
      <w:r>
        <w:t>十五  0.5.0 专项验证结果与限制</w:t>
      </w:r>
    </w:p>
    <w:p>
      <w:r>
        <w:t>对全部46760不同标题、52146原行完成r52至r55全量扫描。相对r51仅王夏春子和殷熊毅辉两个真实标题转为未决，原片段保留用于审计，Excel两列为空。当前姓名45944标题51254行，无姓名694标题761行，未决122标题131行。其他105个四字输出均未改变，未将风险数视为错误数。固定23387旧参考仍匹配23289、脚本未决98、确定差异0；相对r51历史匹配结果无新增退化。</w:t>
      </w:r>
    </w:p>
    <w:p>
      <w:r>
        <w:t>107个候选逐项保存原标题、映射行、机构与岗位结构、人数证据、旧参考及处置。71个与缓存双通道参考一致，34个没有独立参考，2个双通道人数未决。107个均缺标题精确人数，机构、岗位或复姓线索支持槽位边界而不证明内部单人数。其余105继续披露人数风险，本轮没有新增盲AI判断，也未做人工真值确认。</w:t>
      </w:r>
    </w:p>
    <w:p>
      <w:r>
        <w:t>新建102个合成行为契约，分别统计94个明示人数或复数结构案例、2个真实已知弃权回放和6个保留口径案例。通用结构案例由r51的40项匹配提升到94项全部匹配；另外两组不计通用能力收益。合成题预期由本轮结构契约直接制定，不是独立盲标或真实未见泛化证明。32项测试通过，覆盖姓名长度、复姓、民族与日文形式、全角人数、无分隔连写、含和字单人、局部与总人数、名单、主体冲突和省略姓名。</w:t>
      </w:r>
    </w:p>
    <w:p>
      <w:r>
        <w:t>复用原48、36、24个双通道合成题参考。此前5个无分隔四字歧义由已知弃权记录转未决，仅计已知风险回放，不计新通用识别收益。两类未知机构无姓名题仍保守未决，原通道分歧保留。未登记的新标题如果没有内部人数证据，仍可能保留四字候选并标风险；当前规则不能普遍证明全部四字片段是一人，也不能宣称静默错误归零。</w:t>
      </w:r>
    </w:p>
    <w:p>
      <w:r>
        <w:t>最终Excel继续完全由脚本生成，原52146记录、13字段及格式保留，只追加姓名与字数；无姓名为空与0，未决为空与空。原表保留和结果列逐行核对通过。真实准确率未评估，人工检查未完成，不能声称达到99.8%或最终验收通过，不向HR或他人外发。下一步限于本子问题，补足34个无独立参考候选的证据并寻找新的可推广人数结构，避免扩大整体提取架构或用例外名单掩盖泛化限制。</w:t>
      </w:r>
    </w:p>
    <w:sectPr w:rsidR="00FC693F" w:rsidRPr="0006063C" w:rsidSect="00034616">
      <w:footerReference w:type="default" r:id="rId9"/>
      <w:pgSz w:w="11906" w:h="16838"/>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任职资格批复姓名提取方案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Arial Unicode MS" w:hAnsi="Arial Unicode MS" w:eastAsia="Hiragino Sans GB"/>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Unicode MS" w:hAnsi="Arial Unicode MS" w:eastAsia="Hiragino Sans GB"/>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Unicode MS" w:hAnsi="Arial Unicode MS" w:eastAsia="Hiragino Sans GB"/>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Arial Unicode MS" w:hAnsi="Arial Unicode MS" w:eastAsia="Hiragino Sans G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