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任职资格批复姓名提取验收报告</w:t>
      </w:r>
    </w:p>
    <w:p>
      <w:r>
        <w:t>2026年10月14日 规则r65 固定参考v2</w:t>
      </w:r>
    </w:p>
    <w:p>
      <w:r>
        <w:t>语义验收尚有差异或未达到一致率目标。全量AI审核覆盖52,146/52,146行，固定参考逐行一致率为99.7795%，明确参考差异76行，参考仍无法裁决39行。本轮人工实际检查0/100条，不把AI一致率当作真实准确率。</w:t>
      </w:r>
    </w:p>
    <w:p>
      <w:pPr>
        <w:pStyle w:val="Heading1"/>
      </w:pPr>
      <w:r>
        <w:t>数据范围与独立审核</w:t>
      </w:r>
    </w:p>
    <w:p>
      <w:r>
        <w:t>以0.7.0/r64为冻结基线。52,146原行按标题、完整内容、被许可对象、颁布机构、文号五字段精确去重为51,962独立输入，184原行复用完全相同输入的审核结果。每个原始行仍有独立行ID和验收记录。首轮只提供原材料；第二轮独立重读3602条，不提供首轮或脚本结果；第三轮对327条竞争解释进行原文证据裁决，解释排除或不能排除的依据。随后对9条姓名机构边界补做独立原文复核，修正6个参考答案；v1及v2更正依据全部保留。固定参考版本为v2，正文只辅助AI验收，生产脚本仅依据标题。姓名以原始有序数组比较，逐个核对标题证据位置及正文逐字引用。多人拼接字符串相同不能替代人数和拆分正确。首答、失败草稿、修订及争议原文保留在独立内部材料中。初始化误读历史的20条草稿已隔离并重新独立审核；收尾发现的缺批和留在重试目录的更正均按原始ID补齐或校验归并，覆盖以有效逐行文件为准，不以会话自报完成为准。</w:t>
      </w:r>
    </w:p>
    <w:p>
      <w:pPr>
        <w:pStyle w:val="Heading1"/>
      </w:pPr>
      <w:r>
        <w:t>数据完整性与格式</w:t>
      </w:r>
    </w:p>
    <w:p>
      <w:r>
        <w:t>正式Excel由生产脚本输出，原表仅新增“提取姓名”“姓名字数”两列。原记录顺序、13原字段、原值、类型、样式及其他工作表保持一致；确定无姓名空值配数值0，脚本未决两列留空。固定答案及详细复核记录独立保存，不添加审核工作表，不人工改最终单元格。导出器独立回读验证结果保存于delivery-excel-verification.json，验证52146条记录。</w:t>
      </w:r>
    </w:p>
    <w:p>
      <w:pPr>
        <w:pStyle w:val="Heading1"/>
      </w:pPr>
      <w:r>
        <w:t>语义比较与修复</w:t>
      </w:r>
    </w:p>
    <w:p>
      <w:r>
        <w:t>已确认匹配52,031行；全量参考一致率99.7795%，仅在确定参考范围的条件一致率99.8541%。未决参考仍包含在全量分母，但不进入正确数。补入完整机构“健安金汇保险销售服务有限公司”，姓名边界恢复为冯毅；依据原行29240的独立请示正文。 删除错误机构锚点“成都江堰金都村镇银行”及其公司全称，保留“都江堰金都村镇银行”，姓名边界恢复为袁军成；依据原行51726请示及到任句。 识别缺少“关于”且监管机关标题后使用“于”连接姓名的结构，高明恢复为两字；普通“关于于高明”不受影响。依据原行43586正文。</w:t>
      </w:r>
    </w:p>
    <w:p>
      <w:pPr>
        <w:pStyle w:val="Heading1"/>
      </w:pPr>
      <w:r>
        <w:t>人工抽检</w:t>
      </w:r>
    </w:p>
    <w:p>
      <w:r>
        <w:t>人工名单固定为60条按年份、地区和标题结构分层随机样本，加40条多人、裁决分歧、无姓名及历史风险样本。按用户后续选择使用非盲确认表，阅读原标题、必要正文、参考数组及脚本结果后勾选，错误或无法判断填写理由。当前正确0条、错误0条、无法判断0条，实际检查0条；AI和UI测试不计人工。抽检结果只反映这100条，不能夸大为全量真实准确率。</w:t>
      </w:r>
    </w:p>
    <w:p>
      <w:pPr>
        <w:pStyle w:val="Heading1"/>
      </w:pPr>
      <w:r>
        <w:t>剩余不确定性</w:t>
      </w:r>
    </w:p>
    <w:p>
      <w:r>
        <w:t>各轮审核使用同一gpt-6-luna模型的独立上下文和提示词，可能共享偏差。真实准确率未直接测得。用户已明确选择保留通用规则、披露剩余差异，不新增逐标题边界例外；76行脚本未决单列于“脚本未决76行.csv”。39条未决参考逐行列于“剩余不确定性.csv”，不计已确认正确；其余明确差异详见final-differences.jsonl。剩余不确定性及未完成的人审必须披露，不能用“已100%准确”代替验收结论。</w:t>
      </w:r>
    </w:p>
    <w:p>
      <w:pPr>
        <w:pStyle w:val="Heading1"/>
      </w:pPr>
      <w:r>
        <w:t>模型与运行记录</w:t>
      </w:r>
    </w:p>
    <w:p>
      <w:r>
        <w:t>审核模型为gpt-6-luna，推理强度xhigh，Fast依据用户界面开启及新会话继承确认；运行元数据未暴露Fast字段。提示词版本为title-body-blind-v2、title-body-independent-v1、title-body-adjudication-v1。可读取审核会话的累计输入token 2442858592，缓存输入2403275520，输出9548985；包含失败和重复上下文，推理token已包含在输出内。使用Codex订阅渠道，未调用新增付费API；货币费用不可读取，记unknown，不换算或记0。</w:t>
      </w:r>
    </w:p>
    <w:p>
      <w:pPr>
        <w:pStyle w:val="Heading1"/>
      </w:pPr>
      <w:r>
        <w:t>可复现入口</w:t>
      </w:r>
    </w:p>
    <w:p>
      <w:r>
        <w:t>uv run python -B scripts/acceptance.py collect、compare、collect_second、collect_third、freeze_reference、final_compare。首次冻结v1后运行supplement_reference保留v1并生成v2，不能覆盖旧版本；生产全量运行及导出使用scripts/full.py，独立原表保留验证使用scripts/excel_output.py。人工入口为scripts/human_confirmation.py serve。全部答案、差异、引用、模型、提示词及日志位于validation/0.7.0/final-acceptance。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 Unicode MS" w:hAnsi="Arial Unicode MS" w:eastAsia="Hiragino Sans GB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 Unicode MS" w:hAnsi="Arial Unicode MS" w:eastAsia="Hiragino Sans GB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 Unicode MS" w:hAnsi="Arial Unicode MS" w:eastAsia="Hiragino Sans GB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 Unicode MS" w:hAnsi="Arial Unicode MS" w:eastAsia="Hiragino Sans GB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