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napToGrid w:val="0"/>
        <w:jc w:val="left"/>
        <w:rPr>
          <w:rFonts w:ascii="微软雅黑" w:hAnsi="微软雅黑" w:eastAsia="微软雅黑"/>
        </w:rPr>
      </w:pPr>
      <w:r>
        <w:rPr>
          <w:rFonts w:ascii="微软雅黑" w:hAnsi="微软雅黑" w:eastAsia="微软雅黑"/>
        </w:rPr>
        <w:t>天巡系列文章-系统总体介绍</w:t>
      </w:r>
    </w:p>
    <w:p>
      <w:pPr>
        <w:pStyle w:val="2"/>
        <w:snapToGrid w:val="0"/>
        <w:jc w:val="left"/>
        <w:rPr>
          <w:rFonts w:ascii="微软雅黑" w:hAnsi="微软雅黑" w:eastAsia="微软雅黑"/>
        </w:rPr>
      </w:pPr>
      <w:r>
        <w:rPr>
          <w:rFonts w:ascii="微软雅黑" w:hAnsi="微软雅黑" w:eastAsia="微软雅黑"/>
        </w:rPr>
        <w:t>天巡架构总览</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9292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760720" cy="2929866"/>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4284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760720" cy="4284736"/>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p>
    <w:p>
      <w:pPr>
        <w:pStyle w:val="3"/>
        <w:snapToGrid w:val="0"/>
        <w:jc w:val="left"/>
        <w:rPr>
          <w:rFonts w:ascii="微软雅黑" w:hAnsi="微软雅黑" w:eastAsia="微软雅黑"/>
        </w:rPr>
      </w:pPr>
      <w:r>
        <w:rPr>
          <w:rFonts w:ascii="微软雅黑" w:hAnsi="微软雅黑" w:eastAsia="微软雅黑"/>
        </w:rPr>
        <w:t>天巡模块介绍</w:t>
      </w:r>
    </w:p>
    <w:p>
      <w:pPr>
        <w:numPr>
          <w:ilvl w:val="0"/>
          <w:numId w:val="1"/>
        </w:numPr>
        <w:snapToGrid w:val="0"/>
        <w:spacing w:before="0" w:after="272" w:line="240" w:lineRule="auto"/>
        <w:ind w:left="0" w:right="0" w:firstLine="0"/>
        <w:jc w:val="left"/>
        <w:rPr>
          <w:rFonts w:ascii="微软雅黑" w:hAnsi="微软雅黑" w:eastAsia="微软雅黑"/>
          <w:color w:val="333333"/>
          <w:sz w:val="22"/>
          <w:szCs w:val="22"/>
        </w:rPr>
      </w:pPr>
      <w:r>
        <w:rPr>
          <w:rFonts w:ascii="Helvetica Neue" w:hAnsi="Helvetica Neue" w:eastAsia="Helvetica Neue"/>
          <w:color w:val="333333"/>
          <w:spacing w:val="3"/>
          <w:sz w:val="24"/>
          <w:szCs w:val="24"/>
          <w:shd w:val="clear" w:fill="FFFFFF"/>
        </w:rPr>
        <w:t>大屏中心</w:t>
      </w:r>
    </w:p>
    <w:p>
      <w:pPr>
        <w:snapToGrid w:val="0"/>
        <w:spacing w:before="60" w:after="60" w:line="312" w:lineRule="auto"/>
        <w:jc w:val="left"/>
        <w:rPr>
          <w:rFonts w:ascii="Helvetica Neue" w:hAnsi="Helvetica Neue" w:eastAsia="Helvetica Neue"/>
          <w:color w:val="333333"/>
          <w:spacing w:val="3"/>
          <w:sz w:val="24"/>
          <w:szCs w:val="24"/>
          <w:shd w:val="clear" w:fill="FFFFFF"/>
        </w:rPr>
      </w:pPr>
      <w:r>
        <w:rPr>
          <w:rFonts w:ascii="Helvetica Neue" w:hAnsi="Helvetica Neue" w:eastAsia="Helvetica Neue"/>
          <w:color w:val="333333"/>
          <w:spacing w:val="3"/>
          <w:sz w:val="24"/>
          <w:szCs w:val="24"/>
          <w:shd w:val="clear" w:fill="FFFFFF"/>
        </w:rPr>
        <w:t>以产品为基准，结合客户场景绘制出黄金指标大盘，通过同步Barad，集成TCS/COS/云哨等数据，并结合巡检及拔测数据绘制出计算/网络/存储/云平台/底层支撑等大盘，方便一线、驻场快速判断平台的稳定性、可靠性。</w:t>
      </w:r>
    </w:p>
    <w:p>
      <w:pPr>
        <w:snapToGrid w:val="0"/>
        <w:spacing w:before="60" w:after="60" w:line="312" w:lineRule="auto"/>
        <w:jc w:val="left"/>
        <w:rPr>
          <w:rFonts w:ascii="微软雅黑" w:hAnsi="微软雅黑" w:eastAsia="微软雅黑"/>
          <w:color w:val="333333"/>
          <w:sz w:val="22"/>
          <w:szCs w:val="22"/>
        </w:rPr>
      </w:pPr>
    </w:p>
    <w:p>
      <w:pPr>
        <w:numPr>
          <w:ilvl w:val="0"/>
          <w:numId w:val="1"/>
        </w:numPr>
        <w:snapToGrid w:val="0"/>
        <w:spacing w:before="0" w:after="272" w:line="240" w:lineRule="auto"/>
        <w:ind w:left="0" w:right="0" w:firstLine="0"/>
        <w:jc w:val="left"/>
        <w:rPr>
          <w:rFonts w:ascii="微软雅黑" w:hAnsi="微软雅黑" w:eastAsia="微软雅黑"/>
          <w:color w:val="333333"/>
          <w:sz w:val="22"/>
          <w:szCs w:val="22"/>
        </w:rPr>
      </w:pPr>
      <w:r>
        <w:rPr>
          <w:rFonts w:ascii="Helvetica Neue" w:hAnsi="Helvetica Neue" w:eastAsia="Helvetica Neue"/>
          <w:color w:val="333333"/>
          <w:spacing w:val="3"/>
          <w:sz w:val="24"/>
          <w:szCs w:val="24"/>
          <w:shd w:val="clear" w:fill="FFFFFF"/>
        </w:rPr>
        <w:t>巡检中心</w:t>
      </w:r>
    </w:p>
    <w:p>
      <w:pPr>
        <w:snapToGrid w:val="0"/>
        <w:spacing w:before="60" w:after="60" w:line="312" w:lineRule="auto"/>
        <w:jc w:val="left"/>
        <w:rPr>
          <w:rFonts w:ascii="Helvetica Neue" w:hAnsi="Helvetica Neue" w:eastAsia="Helvetica Neue"/>
          <w:color w:val="333333"/>
          <w:spacing w:val="3"/>
          <w:sz w:val="24"/>
          <w:szCs w:val="24"/>
          <w:shd w:val="clear" w:fill="FFFFFF"/>
        </w:rPr>
      </w:pPr>
      <w:r>
        <w:rPr>
          <w:rFonts w:ascii="Helvetica Neue" w:hAnsi="Helvetica Neue" w:eastAsia="Helvetica Neue"/>
          <w:color w:val="333333"/>
          <w:spacing w:val="3"/>
          <w:sz w:val="24"/>
          <w:szCs w:val="24"/>
          <w:shd w:val="clear" w:fill="FFFFFF"/>
        </w:rPr>
        <w:t> 一键式健康巡检框架通过插件机制将各种监控项以插件方式进行管理，并抽取了巡检项的共性，减少代码冗余度。实现快速检测平台的 系统层、应用层、网络层、业务层的健康状态。并提供巡检大屏、EXCEL多种形式对异常进行定位。</w:t>
      </w:r>
    </w:p>
    <w:p>
      <w:pPr>
        <w:snapToGrid w:val="0"/>
        <w:spacing w:before="60" w:after="60" w:line="312" w:lineRule="auto"/>
        <w:jc w:val="left"/>
        <w:rPr>
          <w:rFonts w:ascii="微软雅黑" w:hAnsi="微软雅黑" w:eastAsia="微软雅黑"/>
          <w:color w:val="333333"/>
          <w:sz w:val="22"/>
          <w:szCs w:val="22"/>
        </w:rPr>
      </w:pPr>
    </w:p>
    <w:p>
      <w:pPr>
        <w:numPr>
          <w:ilvl w:val="0"/>
          <w:numId w:val="1"/>
        </w:numPr>
        <w:snapToGrid w:val="0"/>
        <w:spacing w:before="0" w:after="272" w:line="240" w:lineRule="auto"/>
        <w:ind w:left="0" w:right="0" w:firstLine="0"/>
        <w:jc w:val="left"/>
        <w:rPr>
          <w:rFonts w:ascii="微软雅黑" w:hAnsi="微软雅黑" w:eastAsia="微软雅黑"/>
          <w:color w:val="333333"/>
          <w:sz w:val="22"/>
          <w:szCs w:val="22"/>
        </w:rPr>
      </w:pPr>
      <w:r>
        <w:rPr>
          <w:rFonts w:ascii="Helvetica Neue" w:hAnsi="Helvetica Neue" w:eastAsia="Helvetica Neue"/>
          <w:color w:val="333333"/>
          <w:spacing w:val="3"/>
          <w:sz w:val="24"/>
          <w:szCs w:val="24"/>
          <w:shd w:val="clear" w:fill="FFFFFF"/>
        </w:rPr>
        <w:t>拔测中心</w:t>
      </w:r>
    </w:p>
    <w:p>
      <w:pPr>
        <w:snapToGrid w:val="0"/>
        <w:spacing w:before="60" w:after="60" w:line="312" w:lineRule="auto"/>
        <w:jc w:val="left"/>
        <w:rPr>
          <w:rFonts w:ascii="Helvetica Neue" w:hAnsi="Helvetica Neue" w:eastAsia="Helvetica Neue"/>
          <w:color w:val="333333"/>
          <w:spacing w:val="3"/>
          <w:sz w:val="24"/>
          <w:szCs w:val="24"/>
          <w:shd w:val="clear" w:fill="FFFFFF"/>
        </w:rPr>
      </w:pPr>
      <w:r>
        <w:rPr>
          <w:rFonts w:ascii="Helvetica Neue" w:hAnsi="Helvetica Neue" w:eastAsia="Helvetica Neue"/>
          <w:color w:val="333333"/>
          <w:spacing w:val="3"/>
          <w:sz w:val="24"/>
          <w:szCs w:val="24"/>
          <w:shd w:val="clear" w:fill="FFFFFF"/>
        </w:rPr>
        <w:t> 支持TCP/HTTP/ICMP/NTP/DNS等多种协议拔测，默认集成大层云平台拔测功能，同时提供租户端拔测云平台存储产品的可 一键式健康巡检框架通过插件机制将各种监控项以插件方式进行管理，并抽取了巡检项的共性，减少代码冗余度。实现快速检测平台的 系统层、应用层、网络层、业务层的健康状态。并提供巡检大屏、EXCEL多种形式对异常进行定位。用性探测。用户可以通过后台添加拔测任务，以满足不同场景需求。</w:t>
      </w:r>
    </w:p>
    <w:p>
      <w:pPr>
        <w:snapToGrid w:val="0"/>
        <w:spacing w:before="60" w:after="60" w:line="312" w:lineRule="auto"/>
        <w:jc w:val="left"/>
        <w:rPr>
          <w:rFonts w:ascii="微软雅黑" w:hAnsi="微软雅黑" w:eastAsia="微软雅黑"/>
          <w:color w:val="333333"/>
          <w:sz w:val="22"/>
          <w:szCs w:val="22"/>
        </w:rPr>
      </w:pPr>
    </w:p>
    <w:p>
      <w:pPr>
        <w:numPr>
          <w:ilvl w:val="0"/>
          <w:numId w:val="1"/>
        </w:numPr>
        <w:snapToGrid w:val="0"/>
        <w:spacing w:before="0" w:after="272" w:line="240" w:lineRule="auto"/>
        <w:ind w:left="0" w:right="0" w:firstLine="0"/>
        <w:jc w:val="left"/>
        <w:rPr>
          <w:rFonts w:ascii="微软雅黑" w:hAnsi="微软雅黑" w:eastAsia="微软雅黑"/>
          <w:color w:val="333333"/>
          <w:sz w:val="22"/>
          <w:szCs w:val="22"/>
        </w:rPr>
      </w:pPr>
      <w:r>
        <w:rPr>
          <w:rFonts w:ascii="Helvetica Neue" w:hAnsi="Helvetica Neue" w:eastAsia="Helvetica Neue"/>
          <w:color w:val="333333"/>
          <w:spacing w:val="3"/>
          <w:sz w:val="24"/>
          <w:szCs w:val="24"/>
          <w:shd w:val="clear" w:fill="FFFFFF"/>
        </w:rPr>
        <w:t>事件中心</w:t>
      </w:r>
    </w:p>
    <w:p>
      <w:pPr>
        <w:snapToGrid w:val="0"/>
        <w:spacing w:before="60" w:after="60" w:line="312" w:lineRule="auto"/>
        <w:jc w:val="left"/>
        <w:rPr>
          <w:rFonts w:ascii="微软雅黑" w:hAnsi="微软雅黑" w:eastAsia="微软雅黑"/>
          <w:color w:val="333333"/>
          <w:sz w:val="22"/>
          <w:szCs w:val="22"/>
        </w:rPr>
      </w:pPr>
      <w:r>
        <w:rPr>
          <w:rFonts w:ascii="Helvetica Neue" w:hAnsi="Helvetica Neue" w:eastAsia="Helvetica Neue"/>
          <w:color w:val="333333"/>
          <w:spacing w:val="3"/>
          <w:sz w:val="24"/>
          <w:szCs w:val="24"/>
          <w:shd w:val="clear" w:fill="FFFFFF"/>
        </w:rPr>
        <w:t> 将Barad告警，天巡各模块异常数据进行聚合，并对数据进行收敛，通过Barad-amp 模块进行告警，一线与驻场可在运营端进行订阅，接收告警。</w:t>
      </w:r>
    </w:p>
    <w:p>
      <w:pPr>
        <w:numPr>
          <w:ilvl w:val="0"/>
          <w:numId w:val="1"/>
        </w:numPr>
        <w:snapToGrid w:val="0"/>
        <w:spacing w:before="0" w:after="272" w:line="240" w:lineRule="auto"/>
        <w:ind w:left="0" w:right="0" w:firstLine="0"/>
        <w:jc w:val="left"/>
        <w:rPr>
          <w:rFonts w:ascii="微软雅黑" w:hAnsi="微软雅黑" w:eastAsia="微软雅黑"/>
          <w:color w:val="333333"/>
          <w:sz w:val="22"/>
          <w:szCs w:val="22"/>
        </w:rPr>
      </w:pPr>
      <w:r>
        <w:rPr>
          <w:rFonts w:ascii="Helvetica Neue" w:hAnsi="Helvetica Neue" w:eastAsia="Helvetica Neue"/>
          <w:color w:val="333333"/>
          <w:spacing w:val="3"/>
          <w:sz w:val="24"/>
          <w:szCs w:val="24"/>
          <w:shd w:val="clear" w:fill="FFFFFF"/>
        </w:rPr>
        <w:t>容量中心</w:t>
      </w:r>
    </w:p>
    <w:p>
      <w:pPr>
        <w:snapToGrid w:val="0"/>
        <w:spacing w:before="60" w:after="60" w:line="312" w:lineRule="auto"/>
        <w:jc w:val="left"/>
        <w:rPr>
          <w:rFonts w:ascii="Helvetica Neue" w:hAnsi="Helvetica Neue" w:eastAsia="Helvetica Neue"/>
          <w:color w:val="333333"/>
          <w:spacing w:val="3"/>
          <w:sz w:val="24"/>
          <w:szCs w:val="24"/>
          <w:shd w:val="clear" w:fill="FFFFFF"/>
        </w:rPr>
      </w:pPr>
      <w:r>
        <w:rPr>
          <w:rFonts w:ascii="Helvetica Neue" w:hAnsi="Helvetica Neue" w:eastAsia="Helvetica Neue"/>
          <w:color w:val="333333"/>
          <w:spacing w:val="3"/>
          <w:sz w:val="24"/>
          <w:szCs w:val="24"/>
          <w:shd w:val="clear" w:fill="FFFFFF"/>
        </w:rPr>
        <w:t> 通过对天巡数据进行分析提炼，展示云平台的容量。</w:t>
      </w:r>
    </w:p>
    <w:p>
      <w:pPr>
        <w:snapToGrid w:val="0"/>
        <w:spacing w:before="60" w:after="60" w:line="312" w:lineRule="auto"/>
        <w:jc w:val="left"/>
        <w:rPr>
          <w:rFonts w:ascii="Helvetica Neue" w:hAnsi="Helvetica Neue" w:eastAsia="Helvetica Neue"/>
          <w:color w:val="333333"/>
          <w:spacing w:val="3"/>
          <w:sz w:val="24"/>
          <w:szCs w:val="24"/>
          <w:shd w:val="clear" w:fill="FFFFFF"/>
        </w:rPr>
      </w:pPr>
      <w:r>
        <w:rPr>
          <w:rFonts w:ascii="Helvetica Neue" w:hAnsi="Helvetica Neue" w:eastAsia="Helvetica Neue"/>
          <w:color w:val="333333"/>
          <w:spacing w:val="3"/>
          <w:sz w:val="24"/>
          <w:szCs w:val="24"/>
          <w:shd w:val="clear" w:fill="FFFFFF"/>
        </w:rPr>
        <w:drawing>
          <wp:inline distT="0" distB="0" distL="0" distR="0">
            <wp:extent cx="5760720" cy="3383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760720" cy="3384423"/>
                    </a:xfrm>
                    <a:prstGeom prst="rect">
                      <a:avLst/>
                    </a:prstGeom>
                  </pic:spPr>
                </pic:pic>
              </a:graphicData>
            </a:graphic>
          </wp:inline>
        </w:drawing>
      </w:r>
    </w:p>
    <w:p>
      <w:pPr>
        <w:snapToGrid w:val="0"/>
        <w:spacing w:before="60" w:after="60" w:line="312" w:lineRule="auto"/>
        <w:jc w:val="left"/>
        <w:rPr>
          <w:rFonts w:ascii="Helvetica Neue" w:hAnsi="Helvetica Neue" w:eastAsia="Helvetica Neue"/>
          <w:color w:val="333333"/>
          <w:spacing w:val="3"/>
          <w:sz w:val="24"/>
          <w:szCs w:val="24"/>
          <w:shd w:val="clear" w:fill="FFFFFF"/>
        </w:rPr>
      </w:pPr>
    </w:p>
    <w:p>
      <w:pPr>
        <w:snapToGrid w:val="0"/>
        <w:spacing w:before="60" w:after="60" w:line="312" w:lineRule="auto"/>
        <w:jc w:val="left"/>
        <w:rPr>
          <w:rFonts w:ascii="Helvetica Neue" w:hAnsi="Helvetica Neue" w:eastAsia="Helvetica Neue"/>
          <w:color w:val="333333"/>
          <w:spacing w:val="3"/>
          <w:sz w:val="24"/>
          <w:szCs w:val="24"/>
          <w:shd w:val="clear" w:fill="FFFFFF"/>
        </w:rPr>
      </w:pPr>
    </w:p>
    <w:p>
      <w:pPr>
        <w:pStyle w:val="3"/>
        <w:snapToGrid w:val="0"/>
        <w:jc w:val="left"/>
        <w:rPr>
          <w:rFonts w:ascii="微软雅黑" w:hAnsi="微软雅黑" w:eastAsia="微软雅黑"/>
        </w:rPr>
      </w:pPr>
      <w:r>
        <w:rPr>
          <w:rFonts w:ascii="微软雅黑" w:hAnsi="微软雅黑" w:eastAsia="微软雅黑"/>
        </w:rPr>
        <w:t>天巡部署模块介绍</w:t>
      </w:r>
    </w:p>
    <w:p>
      <w:r>
        <w:t>➜  components git:(master) ✗ tree .</w:t>
      </w:r>
    </w:p>
    <w:p>
      <w:r>
        <w:t>.</w:t>
      </w:r>
    </w:p>
    <w:p>
      <w:r>
        <w:t>├── system-btree</w:t>
      </w:r>
    </w:p>
    <w:p>
      <w:r>
        <w:t>│   ├── control.sh</w:t>
      </w:r>
    </w:p>
    <w:p>
      <w:r>
        <w:t>│   ├── docker-compose.yml</w:t>
      </w:r>
    </w:p>
    <w:p>
      <w:r>
        <w:t>│   └── etc</w:t>
      </w:r>
    </w:p>
    <w:p>
      <w:r>
        <w:t>│       ├── Jid.info</w:t>
      </w:r>
    </w:p>
    <w:p>
      <w:r>
        <w:t>│       ├── api-template.sample.yaml</w:t>
      </w:r>
    </w:p>
    <w:p>
      <w:r>
        <w:t>│       ├── config.example.yaml</w:t>
      </w:r>
    </w:p>
    <w:p>
      <w:r>
        <w:t>│       ├── config.yaml</w:t>
      </w:r>
    </w:p>
    <w:p>
      <w:r>
        <w:t>│       └── setup.yaml</w:t>
      </w:r>
    </w:p>
    <w:p>
      <w:r>
        <w:t>├── system-capacity</w:t>
      </w:r>
    </w:p>
    <w:p>
      <w:r>
        <w:t>│   ├── control.sh</w:t>
      </w:r>
    </w:p>
    <w:p>
      <w:r>
        <w:t>│   ├── docker-compose.yml</w:t>
      </w:r>
    </w:p>
    <w:p>
      <w:r>
        <w:t>│   └── etc</w:t>
      </w:r>
    </w:p>
    <w:p>
      <w:r>
        <w:t>│       └── config.sample.toml</w:t>
      </w:r>
    </w:p>
    <w:p>
      <w:r>
        <w:t>├── system-ccagent</w:t>
      </w:r>
    </w:p>
    <w:p>
      <w:r>
        <w:t>│   ├── control.sh</w:t>
      </w:r>
    </w:p>
    <w:p>
      <w:r>
        <w:t>│   └── docker-compose.yml</w:t>
      </w:r>
    </w:p>
    <w:p>
      <w:r>
        <w:t>├── system-ccmaster</w:t>
      </w:r>
    </w:p>
    <w:p>
      <w:r>
        <w:t>│   ├── control.sh</w:t>
      </w:r>
    </w:p>
    <w:p>
      <w:r>
        <w:t>│   ├── docker-compose.yml</w:t>
      </w:r>
    </w:p>
    <w:p>
      <w:r>
        <w:t>│   ├── etc</w:t>
      </w:r>
    </w:p>
    <w:p>
      <w:r>
        <w:t>│   │   └── api_config.yml</w:t>
      </w:r>
    </w:p>
    <w:p>
      <w:r>
        <w:t>│   └── mongo-load-json</w:t>
      </w:r>
    </w:p>
    <w:p>
      <w:r>
        <w:t>│       ├── init-clear.sh</w:t>
      </w:r>
    </w:p>
    <w:p>
      <w:r>
        <w:t>│       ├── init-export.sh</w:t>
      </w:r>
    </w:p>
    <w:p>
      <w:r>
        <w:t>│       ├── init-import.sample.sh</w:t>
      </w:r>
    </w:p>
    <w:p>
      <w:r>
        <w:t>│       ├── json</w:t>
      </w:r>
    </w:p>
    <w:p>
      <w:r>
        <w:t>│       │   ├── domain.json</w:t>
      </w:r>
    </w:p>
    <w:p>
      <w:r>
        <w:t>│       │   ├── node.json</w:t>
      </w:r>
    </w:p>
    <w:p>
      <w:r>
        <w:t>│       │   ├── point.json</w:t>
      </w:r>
    </w:p>
    <w:p>
      <w:r>
        <w:t>│       │   └── task.json</w:t>
      </w:r>
    </w:p>
    <w:p>
      <w:r>
        <w:t>│       ├── mongo-tools</w:t>
      </w:r>
    </w:p>
    <w:p>
      <w:r>
        <w:t>│       │   ├── mongoexport</w:t>
      </w:r>
    </w:p>
    <w:p>
      <w:r>
        <w:t>│       │   └── mongoimport</w:t>
      </w:r>
    </w:p>
    <w:p>
      <w:r>
        <w:t>│       ├── mongo-tools_arm</w:t>
      </w:r>
    </w:p>
    <w:p>
      <w:r>
        <w:t>│       │   ├── mongoexport</w:t>
      </w:r>
    </w:p>
    <w:p>
      <w:r>
        <w:t>│       │   └── mongoimport</w:t>
      </w:r>
    </w:p>
    <w:p>
      <w:r>
        <w:t>│       ├── readme.md</w:t>
      </w:r>
    </w:p>
    <w:p>
      <w:r>
        <w:t>│       └── src-json</w:t>
      </w:r>
    </w:p>
    <w:p>
      <w:r>
        <w:t>│           ├── domain.json</w:t>
      </w:r>
    </w:p>
    <w:p>
      <w:r>
        <w:t>│           ├── node.json</w:t>
      </w:r>
    </w:p>
    <w:p>
      <w:r>
        <w:t>│           ├── point.json</w:t>
      </w:r>
    </w:p>
    <w:p>
      <w:r>
        <w:t>│           └── task.json</w:t>
      </w:r>
    </w:p>
    <w:p>
      <w:r>
        <w:t>├── system-dashboard</w:t>
      </w:r>
    </w:p>
    <w:p>
      <w:r>
        <w:t>│   ├── control.sh</w:t>
      </w:r>
    </w:p>
    <w:p>
      <w:r>
        <w:t>│   ├── docker-compose.yml</w:t>
      </w:r>
    </w:p>
    <w:p>
      <w:r>
        <w:t>│   └── etc</w:t>
      </w:r>
    </w:p>
    <w:p>
      <w:r>
        <w:t>│       ├── config.sample.yaml</w:t>
      </w:r>
    </w:p>
    <w:p>
      <w:r>
        <w:t>│       └── config.yaml</w:t>
      </w:r>
    </w:p>
    <w:p>
      <w:r>
        <w:t>├── system-ehub</w:t>
      </w:r>
    </w:p>
    <w:p>
      <w:r>
        <w:t>│   ├── README.md</w:t>
      </w:r>
    </w:p>
    <w:p>
      <w:r>
        <w:t>│   └── control.sh</w:t>
      </w:r>
    </w:p>
    <w:p>
      <w:r>
        <w:t>├── system-fmonitor</w:t>
      </w:r>
    </w:p>
    <w:p>
      <w:r>
        <w:t>│   ├── control.sh</w:t>
      </w:r>
    </w:p>
    <w:p>
      <w:r>
        <w:t>│   ├── docker-compose.sample.yml</w:t>
      </w:r>
    </w:p>
    <w:p>
      <w:r>
        <w:t>│   └── etc</w:t>
      </w:r>
    </w:p>
    <w:p>
      <w:r>
        <w:t>│       └── config.sample.yaml</w:t>
      </w:r>
    </w:p>
    <w:p>
      <w:r>
        <w:t>├── system-grafana</w:t>
      </w:r>
    </w:p>
    <w:p>
      <w:r>
        <w:t>│   ├── control.sh</w:t>
      </w:r>
    </w:p>
    <w:p>
      <w:r>
        <w:t>│   ├── datasource.sample.yml</w:t>
      </w:r>
    </w:p>
    <w:p>
      <w:r>
        <w:t>│   ├── docker-compose.sample.yml</w:t>
      </w:r>
    </w:p>
    <w:p>
      <w:r>
        <w:t>│   └── etc</w:t>
      </w:r>
    </w:p>
    <w:p>
      <w:r>
        <w:t>│       ├── grafana.db</w:t>
      </w:r>
    </w:p>
    <w:p>
      <w:r>
        <w:t>│       ├── grafana.ini</w:t>
      </w:r>
    </w:p>
    <w:p>
      <w:r>
        <w:t>│       └── provisioning</w:t>
      </w:r>
    </w:p>
    <w:p>
      <w:r>
        <w:t>│           ├── dashboards</w:t>
      </w:r>
    </w:p>
    <w:p>
      <w:r>
        <w:t>│           │   └── dashboard.yml</w:t>
      </w:r>
    </w:p>
    <w:p>
      <w:r>
        <w:t>│           └── datasources</w:t>
      </w:r>
    </w:p>
    <w:p>
      <w:r>
        <w:t>│               └── datasource.yml</w:t>
      </w:r>
    </w:p>
    <w:p>
      <w:r>
        <w:t>├── system-hwcheck</w:t>
      </w:r>
    </w:p>
    <w:p>
      <w:r>
        <w:t>│   ├── control.sh</w:t>
      </w:r>
    </w:p>
    <w:p>
      <w:r>
        <w:t>│   ├── docker-compose.sample.yml</w:t>
      </w:r>
    </w:p>
    <w:p>
      <w:r>
        <w:t>│   └── etc</w:t>
      </w:r>
    </w:p>
    <w:p>
      <w:r>
        <w:t>│       └── config.sample.yaml</w:t>
      </w:r>
    </w:p>
    <w:p>
      <w:r>
        <w:t>├── system-mongo</w:t>
      </w:r>
    </w:p>
    <w:p>
      <w:r>
        <w:t>│   ├── control.sh</w:t>
      </w:r>
    </w:p>
    <w:p>
      <w:r>
        <w:t>│   └── docker-compose.yml</w:t>
      </w:r>
    </w:p>
    <w:p>
      <w:r>
        <w:t>├── system-portal</w:t>
      </w:r>
    </w:p>
    <w:p>
      <w:r>
        <w:t>│   ├── control.sh</w:t>
      </w:r>
    </w:p>
    <w:p>
      <w:r>
        <w:t>│   ├── docker-compose.yml</w:t>
      </w:r>
    </w:p>
    <w:p>
      <w:r>
        <w:t>│   └── etc</w:t>
      </w:r>
    </w:p>
    <w:p>
      <w:r>
        <w:t>│       ├── config.sample.yml</w:t>
      </w:r>
    </w:p>
    <w:p>
      <w:r>
        <w:t>│       └── config.yml</w:t>
      </w:r>
    </w:p>
    <w:p>
      <w:r>
        <w:t>├── system-sql-exporter</w:t>
      </w:r>
    </w:p>
    <w:p>
      <w:r>
        <w:t>│   ├── control.sh</w:t>
      </w:r>
    </w:p>
    <w:p>
      <w:r>
        <w:t>│   ├── docker-compose.yml</w:t>
      </w:r>
    </w:p>
    <w:p>
      <w:r>
        <w:t>│   └── etc</w:t>
      </w:r>
    </w:p>
    <w:p>
      <w:r>
        <w:t>│       ├── collectors</w:t>
      </w:r>
    </w:p>
    <w:p>
      <w:r>
        <w:t>│       │   ├── collector_cvm.collector.yml</w:t>
      </w:r>
    </w:p>
    <w:p>
      <w:r>
        <w:t>│       │   ├── collector_tdsql.collector.yml</w:t>
      </w:r>
    </w:p>
    <w:p>
      <w:r>
        <w:t>│       │   ├── collector_tdsql_capacity.collector.yml</w:t>
      </w:r>
    </w:p>
    <w:p>
      <w:r>
        <w:t>│       │   └── collector_tke.collector.yml</w:t>
      </w:r>
    </w:p>
    <w:p>
      <w:r>
        <w:t>│       ├── config.sample.yml</w:t>
      </w:r>
    </w:p>
    <w:p>
      <w:r>
        <w:t>│       └── sql_exporter.yml</w:t>
      </w:r>
    </w:p>
    <w:p>
      <w:r>
        <w:t>├── system-vm</w:t>
      </w:r>
    </w:p>
    <w:p>
      <w:r>
        <w:t>│   ├── control.sh</w:t>
      </w:r>
    </w:p>
    <w:p>
      <w:r>
        <w:t>│   ├── docker-compose.yml</w:t>
      </w:r>
    </w:p>
    <w:p>
      <w:r>
        <w:t>│   └── etc</w:t>
      </w:r>
    </w:p>
    <w:p>
      <w:r>
        <w:t>│       ├── prometheus.sample.yml</w:t>
      </w:r>
    </w:p>
    <w:p>
      <w:r>
        <w:t>│       └── prometheus.yml</w:t>
      </w:r>
    </w:p>
    <w:p>
      <w:r>
        <w:t>├── system-vmagent</w:t>
      </w:r>
    </w:p>
    <w:p>
      <w:r>
        <w:t>│   ├── control.sh</w:t>
      </w:r>
    </w:p>
    <w:p>
      <w:r>
        <w:t>│   ├── docker-compose.yml</w:t>
      </w:r>
    </w:p>
    <w:p>
      <w:r>
        <w:t>│   └── etc</w:t>
      </w:r>
    </w:p>
    <w:p>
      <w:r>
        <w:t>│       ├── prometheus.sample.yml</w:t>
      </w:r>
    </w:p>
    <w:p>
      <w:r>
        <w:t>│       └── prometheus.yml</w:t>
      </w:r>
    </w:p>
    <w:p>
      <w:r>
        <w:t>└── system-vmalert</w:t>
      </w:r>
    </w:p>
    <w:p>
      <w:r>
        <w:t>    ├── control.sh</w:t>
      </w:r>
    </w:p>
    <w:p>
      <w:r>
        <w:t>    ├── docker-compose.yml</w:t>
      </w:r>
    </w:p>
    <w:p>
      <w:r>
        <w:t>    └── etc</w:t>
      </w:r>
    </w:p>
    <w:p>
      <w:r>
        <w:t>        └── hw.rules</w:t>
      </w:r>
    </w:p>
    <w:p/>
    <w:p>
      <w:pPr>
        <w:pStyle w:val="4"/>
        <w:snapToGrid w:val="0"/>
        <w:jc w:val="left"/>
        <w:rPr>
          <w:rFonts w:ascii="微软雅黑" w:hAnsi="微软雅黑" w:eastAsia="微软雅黑"/>
        </w:rPr>
      </w:pPr>
      <w:r>
        <w:rPr>
          <w:rFonts w:ascii="微软雅黑" w:hAnsi="微软雅黑" w:eastAsia="微软雅黑"/>
        </w:rPr>
        <w:t>system-btree</w:t>
      </w:r>
    </w:p>
    <w:p>
      <w:pPr>
        <w:snapToGrid w:val="0"/>
        <w:spacing w:before="60" w:after="60" w:line="312" w:lineRule="auto"/>
        <w:jc w:val="left"/>
        <w:rPr>
          <w:rFonts w:ascii="微软雅黑" w:hAnsi="微软雅黑" w:eastAsia="微软雅黑"/>
          <w:color w:val="172B4D"/>
          <w:spacing w:val="0"/>
          <w:sz w:val="21"/>
          <w:szCs w:val="21"/>
          <w:shd w:val="clear" w:fill="FFFFFF"/>
        </w:rPr>
      </w:pPr>
      <w:r>
        <w:rPr>
          <w:rFonts w:ascii="微软雅黑" w:hAnsi="微软雅黑" w:eastAsia="微软雅黑"/>
          <w:color w:val="172B4D"/>
          <w:spacing w:val="0"/>
          <w:sz w:val="21"/>
          <w:szCs w:val="21"/>
          <w:shd w:val="clear" w:fill="FFFFFF"/>
        </w:rPr>
        <w:t>业务树是天巡项目的子组件，通过解析初始化配置信息，业务树组件能够自动同步业务信息，并保存至 mongodb。同时提供 API 为前端及其他后台组件（如巡检、拨测等）提供业务数据。同时业务树还会作为 exporter 提供 Prometheus 格式的指标，将业务信息以指标的形式暴露。</w:t>
      </w:r>
    </w:p>
    <w:p>
      <w:pPr>
        <w:snapToGrid w:val="0"/>
        <w:spacing w:before="60" w:after="60" w:line="312" w:lineRule="auto"/>
        <w:jc w:val="left"/>
        <w:rPr>
          <w:rFonts w:ascii="Helvetica Neue" w:hAnsi="Helvetica Neue" w:eastAsia="Helvetica Neue"/>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p_pyyxiang，luminizehe</w:t>
      </w:r>
    </w:p>
    <w:p>
      <w:pPr>
        <w:pStyle w:val="4"/>
        <w:snapToGrid w:val="0"/>
        <w:jc w:val="left"/>
        <w:rPr>
          <w:rFonts w:ascii="微软雅黑" w:hAnsi="微软雅黑" w:eastAsia="微软雅黑"/>
        </w:rPr>
      </w:pPr>
      <w:r>
        <w:rPr>
          <w:rFonts w:ascii="微软雅黑" w:hAnsi="微软雅黑" w:eastAsia="微软雅黑"/>
        </w:rPr>
        <w:t>system-capacity</w:t>
      </w:r>
    </w:p>
    <w:p>
      <w:pPr>
        <w:numPr>
          <w:ilvl w:val="0"/>
          <w:numId w:val="2"/>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容量目前覆盖五个产品，分别是 CVM 母机，CBS 存储池，CFS，Redis 和 TDSQL，数据来源是各个业务的 API。CVM，CBS，CFS，TDSQL 走了云 API，Redis 的 Describe Machine 接口没有注册到云 API，是直接访问的</w:t>
      </w:r>
    </w:p>
    <w:p>
      <w:pPr>
        <w:numPr>
          <w:ilvl w:val="0"/>
          <w:numId w:val="2"/>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CVM </w:t>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数据来源</w:t>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6682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760720" cy="2668833"/>
                    </a:xfrm>
                    <a:prstGeom prst="rect">
                      <a:avLst/>
                    </a:prstGeom>
                  </pic:spPr>
                </pic:pic>
              </a:graphicData>
            </a:graphic>
          </wp:inline>
        </w:drawing>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指标列表</w:t>
      </w:r>
    </w:p>
    <w:p>
      <w:pPr>
        <w:snapToGrid w:val="0"/>
        <w:spacing w:before="60" w:after="60" w:line="312" w:lineRule="auto"/>
        <w:ind w:leftChars="160"/>
        <w:jc w:val="left"/>
        <w:rPr>
          <w:rFonts w:ascii="Helvetica Neue" w:hAnsi="Helvetica Neue" w:eastAsia="Helvetica Neue"/>
          <w:color w:val="333333"/>
          <w:sz w:val="22"/>
          <w:szCs w:val="22"/>
        </w:rPr>
      </w:pPr>
      <w:r>
        <w:rPr>
          <w:rFonts w:ascii="微软雅黑" w:hAnsi="微软雅黑" w:eastAsia="微软雅黑"/>
          <w:color w:val="333333"/>
          <w:sz w:val="22"/>
          <w:szCs w:val="22"/>
        </w:rPr>
        <w:t>cvm_cpu_available，cvm_cpu_total，</w:t>
      </w:r>
      <w:r>
        <w:rPr>
          <w:rFonts w:ascii="Helvetica Neue" w:hAnsi="Helvetica Neue" w:eastAsia="Helvetica Neue"/>
          <w:color w:val="333333"/>
          <w:sz w:val="22"/>
          <w:szCs w:val="22"/>
        </w:rPr>
        <w:t>cvm_memory_available, cvm_memory_total</w:t>
      </w:r>
    </w:p>
    <w:p>
      <w:pPr>
        <w:numPr>
          <w:ilvl w:val="0"/>
          <w:numId w:val="2"/>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CBS 存储池</w:t>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数据来源</w:t>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9070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760720" cy="2907363"/>
                    </a:xfrm>
                    <a:prstGeom prst="rect">
                      <a:avLst/>
                    </a:prstGeom>
                  </pic:spPr>
                </pic:pic>
              </a:graphicData>
            </a:graphic>
          </wp:inline>
        </w:drawing>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指标列表</w:t>
      </w:r>
    </w:p>
    <w:p>
      <w:pPr>
        <w:snapToGrid w:val="0"/>
        <w:spacing w:before="60" w:after="60" w:line="312" w:lineRule="auto"/>
        <w:ind w:left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cbs_depot_size_used， cbs_depot_size_created，cbs_depot_size_total</w:t>
      </w:r>
    </w:p>
    <w:p>
      <w:pPr>
        <w:numPr>
          <w:ilvl w:val="0"/>
          <w:numId w:val="2"/>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CFS 集群</w:t>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893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60720" cy="2893861"/>
                    </a:xfrm>
                    <a:prstGeom prst="rect">
                      <a:avLst/>
                    </a:prstGeom>
                  </pic:spPr>
                </pic:pic>
              </a:graphicData>
            </a:graphic>
          </wp:inline>
        </w:drawing>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指标列表</w:t>
      </w:r>
    </w:p>
    <w:p>
      <w:pPr>
        <w:snapToGrid w:val="0"/>
        <w:spacing w:before="60" w:after="60" w:line="312" w:lineRule="auto"/>
        <w:ind w:left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cfs_cluster_used_size，cfs_cluster_alloc_size</w:t>
      </w:r>
    </w:p>
    <w:p>
      <w:pPr>
        <w:numPr>
          <w:ilvl w:val="0"/>
          <w:numId w:val="2"/>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TDSQL</w:t>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8402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760720" cy="1840730"/>
                    </a:xfrm>
                    <a:prstGeom prst="rect">
                      <a:avLst/>
                    </a:prstGeom>
                  </pic:spPr>
                </pic:pic>
              </a:graphicData>
            </a:graphic>
          </wp:inline>
        </w:drawing>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指标列表</w:t>
      </w:r>
    </w:p>
    <w:p>
      <w:pPr>
        <w:snapToGrid w:val="0"/>
        <w:spacing w:before="60" w:after="60" w:line="312" w:lineRule="auto"/>
        <w:ind w:left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tdsql_cpu_total， tdsql_cpu_free, tdsql_memory_total, tdsql_memory_free, tdsql_data_disk_total, tdsql_data_disk_free</w:t>
      </w:r>
    </w:p>
    <w:p>
      <w:pPr>
        <w:snapToGrid w:val="0"/>
        <w:spacing w:before="60" w:after="60" w:line="312" w:lineRule="auto"/>
        <w:ind w:left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注意，只有 chitu 镜像版本在 1.2.6-20210311-151654-22fadc9  以上才有这个接口，如果 tdsql 没有数据可以检查下是否是 chitu 版本的问题</w:t>
      </w:r>
    </w:p>
    <w:p>
      <w:pPr>
        <w:numPr>
          <w:ilvl w:val="0"/>
          <w:numId w:val="2"/>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Redis</w:t>
      </w:r>
    </w:p>
    <w:p>
      <w:pPr>
        <w:snapToGrid w:val="0"/>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600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760720" cy="2601325"/>
                    </a:xfrm>
                    <a:prstGeom prst="rect">
                      <a:avLst/>
                    </a:prstGeom>
                  </pic:spPr>
                </pic:pic>
              </a:graphicData>
            </a:graphic>
          </wp:inline>
        </w:drawing>
      </w:r>
    </w:p>
    <w:p>
      <w:pPr>
        <w:snapToGrid w:val="0"/>
        <w:spacing w:before="60" w:after="60" w:line="312" w:lineRule="auto"/>
        <w:ind w:left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redis_machine_memory_in_use， redis_machine_memory_size</w:t>
      </w:r>
    </w:p>
    <w:p>
      <w:pPr>
        <w:numPr>
          <w:ilvl w:val="0"/>
          <w:numId w:val="2"/>
        </w:numPr>
        <w:snapToGrid w:val="0"/>
        <w:spacing w:before="60" w:after="60" w:line="312" w:lineRule="auto"/>
        <w:ind w:hanging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常见问题解决思路</w:t>
      </w:r>
    </w:p>
    <w:p>
      <w:pPr>
        <w:snapToGrid w:val="0"/>
        <w:spacing w:before="60" w:after="60" w:line="312" w:lineRule="auto"/>
        <w:ind w:left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如果容量大盘看不到数据，可以看容量容器的日志</w:t>
      </w:r>
    </w:p>
    <w:p>
      <w:pPr>
        <w:snapToGrid w:val="0"/>
        <w:spacing w:before="60" w:after="60" w:line="312" w:lineRule="auto"/>
        <w:ind w:left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docker logs $(docker ps | grep capacity | awk '{print $1}')</w:t>
      </w:r>
    </w:p>
    <w:p>
      <w:pPr>
        <w:snapToGrid w:val="0"/>
        <w:spacing w:before="60" w:after="60" w:line="312" w:lineRule="auto"/>
        <w:ind w:leftChars="160"/>
        <w:jc w:val="left"/>
        <w:rPr>
          <w:rFonts w:ascii="Helvetica Neue" w:hAnsi="Helvetica Neue" w:eastAsia="Helvetica Neue"/>
          <w:color w:val="333333"/>
          <w:sz w:val="22"/>
          <w:szCs w:val="22"/>
        </w:rPr>
      </w:pPr>
      <w:r>
        <w:rPr>
          <w:rFonts w:ascii="Helvetica Neue" w:hAnsi="Helvetica Neue" w:eastAsia="Helvetica Neue"/>
          <w:color w:val="333333"/>
          <w:sz w:val="22"/>
          <w:szCs w:val="22"/>
        </w:rPr>
        <w:t>如果解析不到域名，需要在 system-capacity/docker-compose.yml 中增加 extra_host</w:t>
      </w:r>
    </w:p>
    <w:p>
      <w:pPr>
        <w:snapToGrid w:val="0"/>
        <w:spacing w:before="60" w:after="60" w:line="312" w:lineRule="auto"/>
        <w:jc w:val="left"/>
        <w:rPr>
          <w:rFonts w:ascii="微软雅黑" w:hAnsi="微软雅黑" w:eastAsia="微软雅黑"/>
          <w:color w:val="333333"/>
          <w:sz w:val="22"/>
          <w:szCs w:val="22"/>
        </w:rPr>
      </w:pPr>
    </w:p>
    <w:p>
      <w:pPr>
        <w:pStyle w:val="4"/>
        <w:snapToGrid w:val="0"/>
        <w:jc w:val="left"/>
        <w:rPr>
          <w:rFonts w:ascii="微软雅黑" w:hAnsi="微软雅黑" w:eastAsia="微软雅黑"/>
        </w:rPr>
      </w:pPr>
      <w:r>
        <w:rPr>
          <w:rFonts w:ascii="微软雅黑" w:hAnsi="微软雅黑" w:eastAsia="微软雅黑"/>
        </w:rPr>
        <w:t>system-ccagent</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telegraf 文档介绍：</w:t>
      </w:r>
      <w:r>
        <w:rPr>
          <w:rFonts w:ascii="Helvetica Neue" w:hAnsi="Helvetica Neue" w:eastAsia="Helvetica Neue"/>
          <w:color w:val="333333"/>
          <w:sz w:val="22"/>
          <w:szCs w:val="22"/>
        </w:rPr>
        <w:t>https://github.com/influxdata/telegraf</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以telegraf为基准，针对不同的检测方式启动相关容器</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ccagent 相关docker-compose.yml文件内容如下</w:t>
      </w:r>
    </w:p>
    <w:p>
      <w:r>
        <w:t>version: "3.5"</w:t>
      </w:r>
    </w:p>
    <w:p/>
    <w:p>
      <w:r>
        <w:t>networks:</w:t>
      </w:r>
    </w:p>
    <w:p>
      <w:r>
        <w:t xml:space="preserve">  default:</w:t>
      </w:r>
    </w:p>
    <w:p>
      <w:r>
        <w:t xml:space="preserve">    external:</w:t>
      </w:r>
    </w:p>
    <w:p>
      <w:r>
        <w:t xml:space="preserve">      name: tianxun</w:t>
      </w:r>
    </w:p>
    <w:p/>
    <w:p>
      <w:r>
        <w:t>services:</w:t>
      </w:r>
    </w:p>
    <w:p/>
    <w:p>
      <w:r>
        <w:t xml:space="preserve">  redis_collector:</w:t>
      </w:r>
    </w:p>
    <w:p>
      <w:r>
        <w:t xml:space="preserve">    image: csighub.tencentyun.com/tianxun/tianxun-ccagent:${CCAGENT_VERSION}</w:t>
      </w:r>
    </w:p>
    <w:p>
      <w:r>
        <w:t xml:space="preserve">    command:</w:t>
      </w:r>
    </w:p>
    <w:p>
      <w:r>
        <w:t xml:space="preserve">      - "/telegraf"</w:t>
      </w:r>
    </w:p>
    <w:p>
      <w:r>
        <w:t xml:space="preserve">      - --config=http://ccmaster:8081/tcc/api/v1/dial/point/configuration?ip=redis_collector</w:t>
      </w:r>
    </w:p>
    <w:p>
      <w:r>
        <w:t xml:space="preserve">    restart: always</w:t>
      </w:r>
    </w:p>
    <w:p/>
    <w:p>
      <w:r>
        <w:t xml:space="preserve">  es_collector:</w:t>
      </w:r>
    </w:p>
    <w:p>
      <w:r>
        <w:t xml:space="preserve">    image: csighub.tencentyun.com/tianxun/tianxun-ccagent:${CCAGENT_VERSION}</w:t>
      </w:r>
    </w:p>
    <w:p>
      <w:r>
        <w:t xml:space="preserve">    command:</w:t>
      </w:r>
    </w:p>
    <w:p>
      <w:r>
        <w:t xml:space="preserve">      - "/telegraf"</w:t>
      </w:r>
    </w:p>
    <w:p>
      <w:r>
        <w:t xml:space="preserve">      - --config=http://ccmaster:8081/tcc/api/v1/dial/point/configuration?ip=es_collector</w:t>
      </w:r>
    </w:p>
    <w:p>
      <w:r>
        <w:t xml:space="preserve">    restart: always</w:t>
      </w:r>
    </w:p>
    <w:p/>
    <w:p>
      <w:r>
        <w:t xml:space="preserve">  mongodb_collector:</w:t>
      </w:r>
    </w:p>
    <w:p>
      <w:r>
        <w:t xml:space="preserve">    image: csighub.tencentyun.com/tianxun/tianxun-ccagent:${CCAGENT_VERSION}</w:t>
      </w:r>
    </w:p>
    <w:p>
      <w:r>
        <w:t xml:space="preserve">    command:</w:t>
      </w:r>
    </w:p>
    <w:p>
      <w:r>
        <w:t xml:space="preserve">      - "/telegraf"</w:t>
      </w:r>
    </w:p>
    <w:p>
      <w:r>
        <w:t xml:space="preserve">      - --config=http://ccmaster:8081/tcc/api/v1/dial/point/configuration?ip=mongodb_collector</w:t>
      </w:r>
    </w:p>
    <w:p>
      <w:r>
        <w:t xml:space="preserve">    restart: always</w:t>
      </w:r>
    </w:p>
    <w:p/>
    <w:p>
      <w:pPr>
        <w:snapToGrid w:val="0"/>
        <w:spacing w:before="60" w:after="60" w:line="312" w:lineRule="auto"/>
        <w:jc w:val="left"/>
        <w:rPr>
          <w:rFonts w:ascii="Helvetica Neue" w:hAnsi="Helvetica Neue" w:eastAsia="Helvetica Neue"/>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acemei</w:t>
      </w:r>
    </w:p>
    <w:p>
      <w:pPr>
        <w:pStyle w:val="4"/>
        <w:snapToGrid w:val="0"/>
        <w:jc w:val="left"/>
        <w:rPr>
          <w:rFonts w:ascii="微软雅黑" w:hAnsi="微软雅黑" w:eastAsia="微软雅黑"/>
        </w:rPr>
      </w:pPr>
      <w:r>
        <w:rPr>
          <w:rFonts w:ascii="微软雅黑" w:hAnsi="微软雅黑" w:eastAsia="微软雅黑"/>
        </w:rPr>
        <w:t>system-ccmaster</w:t>
      </w:r>
    </w:p>
    <w:p>
      <w:pPr>
        <w:snapToGrid w:val="0"/>
        <w:spacing w:before="60" w:after="60" w:line="312" w:lineRule="auto"/>
        <w:jc w:val="left"/>
        <w:rPr>
          <w:rFonts w:ascii="Helvetica Neue" w:hAnsi="Helvetica Neue" w:eastAsia="Helvetica Neue"/>
          <w:color w:val="333333"/>
          <w:sz w:val="22"/>
          <w:szCs w:val="22"/>
        </w:rPr>
      </w:pPr>
      <w:r>
        <w:rPr>
          <w:rFonts w:ascii="Helvetica Neue" w:hAnsi="Helvetica Neue" w:eastAsia="Helvetica Neue"/>
          <w:color w:val="333333"/>
          <w:sz w:val="22"/>
          <w:szCs w:val="22"/>
        </w:rPr>
        <w:t xml:space="preserve">提供天巡界面菜单接口，以及为ccagent提供相关telegraf 相关URL接口 </w:t>
      </w:r>
    </w:p>
    <w:p>
      <w:pPr>
        <w:snapToGrid w:val="0"/>
        <w:spacing w:before="60" w:after="60" w:line="312" w:lineRule="auto"/>
        <w:jc w:val="left"/>
        <w:rPr>
          <w:rFonts w:ascii="Helvetica Neue" w:hAnsi="Helvetica Neue" w:eastAsia="Helvetica Neue"/>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acemei，zacharypeng</w:t>
      </w:r>
    </w:p>
    <w:p>
      <w:pPr>
        <w:pStyle w:val="4"/>
        <w:snapToGrid w:val="0"/>
        <w:jc w:val="left"/>
        <w:rPr>
          <w:rFonts w:ascii="微软雅黑" w:hAnsi="微软雅黑" w:eastAsia="微软雅黑"/>
        </w:rPr>
      </w:pPr>
      <w:r>
        <w:rPr>
          <w:rFonts w:ascii="微软雅黑" w:hAnsi="微软雅黑" w:eastAsia="微软雅黑"/>
        </w:rPr>
        <w:t>system-dashboard</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相当于protal后端，提供对应的API接口</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v_vxhtang</w:t>
      </w:r>
    </w:p>
    <w:p>
      <w:pPr>
        <w:pStyle w:val="4"/>
        <w:snapToGrid w:val="0"/>
        <w:jc w:val="left"/>
        <w:rPr>
          <w:rFonts w:ascii="微软雅黑" w:hAnsi="微软雅黑" w:eastAsia="微软雅黑"/>
        </w:rPr>
      </w:pPr>
      <w:r>
        <w:rPr>
          <w:rFonts w:ascii="微软雅黑" w:hAnsi="微软雅黑" w:eastAsia="微软雅黑"/>
        </w:rPr>
        <w:t>system-ehub</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事件中心，兼容运营端统一告警平台（AMP）,天巡相关告警配置都是通过这个模块发送</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kevisong</w:t>
      </w:r>
    </w:p>
    <w:p>
      <w:pPr>
        <w:pStyle w:val="4"/>
        <w:snapToGrid w:val="0"/>
        <w:jc w:val="left"/>
        <w:rPr>
          <w:rFonts w:ascii="微软雅黑" w:hAnsi="微软雅黑" w:eastAsia="微软雅黑"/>
        </w:rPr>
      </w:pPr>
      <w:r>
        <w:rPr>
          <w:rFonts w:ascii="微软雅黑" w:hAnsi="微软雅黑" w:eastAsia="微软雅黑"/>
        </w:rPr>
        <w:t>system-fmonitor</w:t>
      </w:r>
    </w:p>
    <w:p>
      <w:pPr>
        <w:numPr>
          <w:ilvl w:val="0"/>
          <w:numId w:val="3"/>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获取barad相关Kafka通道信息</w:t>
      </w:r>
    </w:p>
    <w:p>
      <w:pPr>
        <w:numPr>
          <w:ilvl w:val="0"/>
          <w:numId w:val="3"/>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消费Barad_Comm topic信息</w:t>
      </w:r>
    </w:p>
    <w:p>
      <w:pPr>
        <w:numPr>
          <w:ilvl w:val="0"/>
          <w:numId w:val="3"/>
        </w:numPr>
        <w:snapToGrid w:val="0"/>
        <w:spacing w:before="60" w:after="60" w:line="312" w:lineRule="auto"/>
        <w:ind w:hangingChars="160"/>
        <w:jc w:val="left"/>
        <w:rPr>
          <w:rFonts w:ascii="微软雅黑" w:hAnsi="微软雅黑" w:eastAsia="微软雅黑"/>
          <w:color w:val="333333"/>
          <w:sz w:val="22"/>
          <w:szCs w:val="22"/>
        </w:rPr>
      </w:pPr>
      <w:r>
        <w:rPr>
          <w:rFonts w:ascii="微软雅黑" w:hAnsi="微软雅黑" w:eastAsia="微软雅黑"/>
          <w:color w:val="333333"/>
          <w:sz w:val="22"/>
          <w:szCs w:val="22"/>
        </w:rPr>
        <w:t>将上一步消费信息存储到</w:t>
      </w:r>
      <w:r>
        <w:rPr>
          <w:rFonts w:ascii="Helvetica Neue" w:hAnsi="Helvetica Neue" w:eastAsia="Helvetica Neue"/>
          <w:color w:val="333333"/>
          <w:sz w:val="22"/>
          <w:szCs w:val="22"/>
        </w:rPr>
        <w:t>victoriametrics中</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acemei</w:t>
      </w:r>
    </w:p>
    <w:p>
      <w:pPr>
        <w:pStyle w:val="4"/>
        <w:snapToGrid w:val="0"/>
        <w:jc w:val="left"/>
        <w:rPr>
          <w:rFonts w:ascii="微软雅黑" w:hAnsi="微软雅黑" w:eastAsia="微软雅黑"/>
        </w:rPr>
      </w:pPr>
      <w:r>
        <w:rPr>
          <w:rFonts w:ascii="微软雅黑" w:hAnsi="微软雅黑" w:eastAsia="微软雅黑"/>
        </w:rPr>
        <w:t>system-grafana</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以grafana页面为基座，修改部分源码 适应天巡页面前端，默认开发3000 端口</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4540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760720" cy="4541067"/>
                    </a:xfrm>
                    <a:prstGeom prst="rect">
                      <a:avLst/>
                    </a:prstGeom>
                  </pic:spPr>
                </pic:pic>
              </a:graphicData>
            </a:graphic>
          </wp:inline>
        </w:drawing>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acemei</w:t>
      </w:r>
    </w:p>
    <w:p>
      <w:pPr>
        <w:pStyle w:val="4"/>
        <w:snapToGrid w:val="0"/>
        <w:jc w:val="left"/>
        <w:rPr>
          <w:rFonts w:ascii="微软雅黑" w:hAnsi="微软雅黑" w:eastAsia="微软雅黑"/>
        </w:rPr>
      </w:pPr>
      <w:r>
        <w:rPr>
          <w:rFonts w:ascii="微软雅黑" w:hAnsi="微软雅黑" w:eastAsia="微软雅黑"/>
        </w:rPr>
        <w:t>system-hwcheck</w:t>
      </w:r>
    </w:p>
    <w:p>
      <w:pPr>
        <w:snapToGrid w:val="0"/>
        <w:spacing w:before="60" w:after="60" w:line="312" w:lineRule="auto"/>
        <w:jc w:val="left"/>
        <w:rPr>
          <w:rFonts w:ascii="Helvetica Neue" w:hAnsi="Helvetica Neue" w:eastAsia="Helvetica Neue"/>
          <w:color w:val="333333"/>
          <w:spacing w:val="3"/>
          <w:sz w:val="24"/>
          <w:szCs w:val="24"/>
          <w:shd w:val="clear" w:fill="FFFFFF"/>
        </w:rPr>
      </w:pPr>
      <w:r>
        <w:rPr>
          <w:rFonts w:ascii="Helvetica Neue" w:hAnsi="Helvetica Neue" w:eastAsia="Helvetica Neue"/>
          <w:color w:val="333333"/>
          <w:spacing w:val="3"/>
          <w:sz w:val="24"/>
          <w:szCs w:val="24"/>
          <w:shd w:val="clear" w:fill="FFFFFF"/>
        </w:rPr>
        <w:t>巡检框架通过插件机制将各种监控项以插件方式进行管理，插件库开发支持自定义 Python、自定义监控项，动态加载，并抽取了巡检项的共性，减少代码冗余度，基于SSH实现快速检测客户网络层、系统层、应用层、数据库、中间件、安全层以及硬件层等健康状态</w:t>
      </w:r>
    </w:p>
    <w:p>
      <w:pPr>
        <w:snapToGrid w:val="0"/>
        <w:spacing w:before="60" w:after="60" w:line="312" w:lineRule="auto"/>
        <w:jc w:val="left"/>
        <w:rPr>
          <w:rFonts w:ascii="微软雅黑" w:hAnsi="微软雅黑" w:eastAsia="微软雅黑"/>
          <w:color w:val="333333"/>
          <w:sz w:val="22"/>
          <w:szCs w:val="22"/>
        </w:rPr>
      </w:pPr>
      <w:r>
        <w:rPr>
          <w:rFonts w:ascii="Helvetica Neue" w:hAnsi="Helvetica Neue" w:eastAsia="Helvetica Neue"/>
          <w:color w:val="333333"/>
          <w:spacing w:val="3"/>
          <w:sz w:val="24"/>
          <w:szCs w:val="24"/>
          <w:shd w:val="clear" w:fill="FFFFFF"/>
        </w:rPr>
        <w:t>具体相关文档地址：http://tianxun-hwcheck.pages.oa.com/_book/index.html</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3037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760720" cy="2304288"/>
                    </a:xfrm>
                    <a:prstGeom prst="rect">
                      <a:avLst/>
                    </a:prstGeom>
                  </pic:spPr>
                </pic:pic>
              </a:graphicData>
            </a:graphic>
          </wp:inline>
        </w:drawing>
      </w:r>
    </w:p>
    <w:p>
      <w:pPr>
        <w:snapToGrid w:val="0"/>
        <w:spacing w:before="60" w:after="60" w:line="312" w:lineRule="auto"/>
        <w:jc w:val="left"/>
        <w:rPr>
          <w:rFonts w:hint="eastAsia" w:ascii="微软雅黑" w:hAnsi="微软雅黑" w:eastAsia="宋体"/>
          <w:color w:val="333333"/>
          <w:sz w:val="22"/>
          <w:szCs w:val="22"/>
          <w:lang w:eastAsia="zh-CN"/>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p_xuming，p_pjmzhu</w:t>
      </w:r>
      <w:r>
        <w:rPr>
          <w:rFonts w:hint="eastAsia" w:ascii="Helvetica Neue" w:hAnsi="Helvetica Neue" w:eastAsia="宋体"/>
          <w:color w:val="333333"/>
          <w:sz w:val="22"/>
          <w:szCs w:val="22"/>
          <w:lang w:eastAsia="zh-CN"/>
        </w:rPr>
        <w:t>（</w:t>
      </w:r>
      <w:r>
        <w:rPr>
          <w:rFonts w:hint="eastAsia" w:ascii="Helvetica Neue" w:hAnsi="Helvetica Neue" w:eastAsia="宋体"/>
          <w:color w:val="333333"/>
          <w:sz w:val="22"/>
          <w:szCs w:val="22"/>
          <w:lang w:val="en-US" w:eastAsia="zh-CN"/>
        </w:rPr>
        <w:t>朱俊明</w:t>
      </w:r>
      <w:r>
        <w:rPr>
          <w:rFonts w:hint="eastAsia" w:ascii="Helvetica Neue" w:hAnsi="Helvetica Neue" w:eastAsia="宋体"/>
          <w:color w:val="333333"/>
          <w:sz w:val="22"/>
          <w:szCs w:val="22"/>
          <w:lang w:eastAsia="zh-CN"/>
        </w:rPr>
        <w:t>）</w:t>
      </w:r>
    </w:p>
    <w:p>
      <w:pPr>
        <w:pStyle w:val="4"/>
        <w:snapToGrid w:val="0"/>
        <w:jc w:val="left"/>
        <w:rPr>
          <w:rFonts w:ascii="微软雅黑" w:hAnsi="微软雅黑" w:eastAsia="微软雅黑"/>
        </w:rPr>
      </w:pPr>
      <w:r>
        <w:rPr>
          <w:rFonts w:ascii="微软雅黑" w:hAnsi="微软雅黑" w:eastAsia="微软雅黑"/>
        </w:rPr>
        <w:t>system-mongo</w:t>
      </w:r>
      <w:bookmarkStart w:id="0" w:name="_GoBack"/>
      <w:bookmarkEnd w:id="0"/>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mongodb相关容器，主要存储业务树相关数据，作为后端数据存储使用</w:t>
      </w:r>
    </w:p>
    <w:p>
      <w:pPr>
        <w:pStyle w:val="4"/>
        <w:snapToGrid w:val="0"/>
        <w:jc w:val="left"/>
        <w:rPr>
          <w:rFonts w:ascii="微软雅黑" w:hAnsi="微软雅黑" w:eastAsia="微软雅黑"/>
        </w:rPr>
      </w:pPr>
      <w:r>
        <w:rPr>
          <w:rFonts w:ascii="微软雅黑" w:hAnsi="微软雅黑" w:eastAsia="微软雅黑"/>
        </w:rPr>
        <w:t>system-portal</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天巡前端页面主要框架，主要提供登录以及后台系统设置等功能</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v_vxhtang</w:t>
      </w:r>
    </w:p>
    <w:p>
      <w:pPr>
        <w:pStyle w:val="4"/>
        <w:snapToGrid w:val="0"/>
        <w:jc w:val="left"/>
        <w:rPr>
          <w:rFonts w:ascii="微软雅黑" w:hAnsi="微软雅黑" w:eastAsia="微软雅黑"/>
        </w:rPr>
      </w:pPr>
      <w:r>
        <w:rPr>
          <w:rFonts w:ascii="微软雅黑" w:hAnsi="微软雅黑" w:eastAsia="微软雅黑"/>
        </w:rPr>
        <w:t>system-sql-exporter</w:t>
      </w:r>
    </w:p>
    <w:p>
      <w:pPr>
        <w:snapToGrid w:val="0"/>
        <w:spacing w:before="60" w:after="60" w:line="312" w:lineRule="auto"/>
        <w:jc w:val="left"/>
        <w:rPr>
          <w:rFonts w:ascii="Helvetica Neue" w:hAnsi="Helvetica Neue" w:eastAsia="Helvetica Neue"/>
          <w:color w:val="333333"/>
          <w:sz w:val="22"/>
          <w:szCs w:val="22"/>
        </w:rPr>
      </w:pPr>
      <w:r>
        <w:rPr>
          <w:rFonts w:ascii="微软雅黑" w:hAnsi="微软雅黑" w:eastAsia="微软雅黑"/>
          <w:color w:val="333333"/>
          <w:sz w:val="22"/>
          <w:szCs w:val="22"/>
        </w:rPr>
        <w:t>使用开源工具sql-exporter,相关文档地址：</w:t>
      </w:r>
      <w:r>
        <w:fldChar w:fldCharType="begin"/>
      </w:r>
      <w:r>
        <w:instrText xml:space="preserve"> HYPERLINK "https://github.com/free/sql_exporter" \h </w:instrText>
      </w:r>
      <w:r>
        <w:fldChar w:fldCharType="separate"/>
      </w:r>
      <w:r>
        <w:rPr>
          <w:rFonts w:ascii="Helvetica Neue" w:hAnsi="Helvetica Neue" w:eastAsia="Helvetica Neue"/>
          <w:color w:val="1E6FFF"/>
          <w:sz w:val="22"/>
          <w:szCs w:val="22"/>
          <w:u w:val="single"/>
        </w:rPr>
        <w:t>https://github.com/free/sql_exporter</w:t>
      </w:r>
      <w:r>
        <w:rPr>
          <w:rFonts w:ascii="Helvetica Neue" w:hAnsi="Helvetica Neue" w:eastAsia="Helvetica Neue"/>
          <w:color w:val="1E6FFF"/>
          <w:sz w:val="22"/>
          <w:szCs w:val="22"/>
          <w:u w:val="single"/>
        </w:rPr>
        <w:fldChar w:fldCharType="end"/>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功能：从赤兔/cvm等相关数据库信息获取相关信息，最终将监控指标放入VM中</w:t>
      </w:r>
    </w:p>
    <w:p>
      <w:pPr>
        <w:snapToGrid w:val="0"/>
        <w:spacing w:before="60" w:after="60" w:line="312" w:lineRule="auto"/>
        <w:jc w:val="left"/>
        <w:rPr>
          <w:rFonts w:ascii="Helvetica Neue" w:hAnsi="Helvetica Neue" w:eastAsia="Helvetica Neue"/>
          <w:color w:val="333333"/>
          <w:sz w:val="22"/>
          <w:szCs w:val="22"/>
        </w:rPr>
      </w:pPr>
      <w:r>
        <w:rPr>
          <w:rFonts w:ascii="微软雅黑" w:hAnsi="微软雅黑" w:eastAsia="微软雅黑"/>
          <w:color w:val="333333"/>
          <w:sz w:val="22"/>
          <w:szCs w:val="22"/>
        </w:rPr>
        <w:t>相关负责人：</w:t>
      </w:r>
      <w:r>
        <w:rPr>
          <w:rFonts w:ascii="Helvetica Neue" w:hAnsi="Helvetica Neue" w:eastAsia="Helvetica Neue"/>
          <w:color w:val="333333"/>
          <w:sz w:val="22"/>
          <w:szCs w:val="22"/>
        </w:rPr>
        <w:t>p_xuming，zacharypeng</w:t>
      </w:r>
    </w:p>
    <w:p>
      <w:pPr>
        <w:pStyle w:val="4"/>
        <w:snapToGrid w:val="0"/>
        <w:jc w:val="left"/>
        <w:rPr>
          <w:rFonts w:ascii="微软雅黑" w:hAnsi="微软雅黑" w:eastAsia="微软雅黑"/>
        </w:rPr>
      </w:pPr>
      <w:r>
        <w:rPr>
          <w:rFonts w:ascii="微软雅黑" w:hAnsi="微软雅黑" w:eastAsia="微软雅黑"/>
        </w:rPr>
        <w:t>system-vm</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时序数据库</w:t>
      </w:r>
      <w:r>
        <w:rPr>
          <w:rFonts w:ascii="Helvetica Neue" w:hAnsi="Helvetica Neue" w:eastAsia="Helvetica Neue"/>
          <w:color w:val="333333"/>
          <w:sz w:val="22"/>
          <w:szCs w:val="22"/>
        </w:rPr>
        <w:t>victoriametrics,相关文档地址：https://github.com/VictoriaMetrics/VictoriaMetrics</w:t>
      </w:r>
    </w:p>
    <w:p>
      <w:pPr>
        <w:pStyle w:val="4"/>
        <w:snapToGrid w:val="0"/>
        <w:jc w:val="left"/>
        <w:rPr>
          <w:rFonts w:ascii="微软雅黑" w:hAnsi="微软雅黑" w:eastAsia="微软雅黑"/>
        </w:rPr>
      </w:pPr>
      <w:r>
        <w:rPr>
          <w:rFonts w:ascii="微软雅黑" w:hAnsi="微软雅黑" w:eastAsia="微软雅黑"/>
        </w:rPr>
        <w:t>system-vmagent</w:t>
      </w:r>
    </w:p>
    <w:p>
      <w:pPr>
        <w:snapToGrid w:val="0"/>
        <w:spacing w:before="60" w:after="60" w:line="312" w:lineRule="auto"/>
        <w:jc w:val="left"/>
        <w:rPr>
          <w:rFonts w:ascii="Helvetica Neue" w:hAnsi="Helvetica Neue" w:eastAsia="Helvetica Neue"/>
          <w:color w:val="333333"/>
          <w:sz w:val="22"/>
          <w:szCs w:val="22"/>
        </w:rPr>
      </w:pPr>
      <w:r>
        <w:rPr>
          <w:rFonts w:ascii="Helvetica Neue" w:hAnsi="Helvetica Neue" w:eastAsia="Helvetica Neue"/>
          <w:color w:val="333333"/>
          <w:sz w:val="22"/>
          <w:szCs w:val="22"/>
        </w:rPr>
        <w:t>兼容prometheus语法，收集自定义exporter，相关文档地址：</w:t>
      </w:r>
      <w:r>
        <w:fldChar w:fldCharType="begin"/>
      </w:r>
      <w:r>
        <w:instrText xml:space="preserve"> HYPERLINK "https://docs.victoriametrics.com/vmagent.html" \h </w:instrText>
      </w:r>
      <w:r>
        <w:fldChar w:fldCharType="separate"/>
      </w:r>
      <w:r>
        <w:rPr>
          <w:rFonts w:ascii="Helvetica Neue" w:hAnsi="Helvetica Neue" w:eastAsia="Helvetica Neue"/>
          <w:color w:val="1E6FFF"/>
          <w:sz w:val="22"/>
          <w:szCs w:val="22"/>
          <w:u w:val="single"/>
        </w:rPr>
        <w:t>https://docs.victoriametrics.com/vmagent.html</w:t>
      </w:r>
      <w:r>
        <w:rPr>
          <w:rFonts w:ascii="Helvetica Neue" w:hAnsi="Helvetica Neue" w:eastAsia="Helvetica Neue"/>
          <w:color w:val="1E6FFF"/>
          <w:sz w:val="22"/>
          <w:szCs w:val="22"/>
          <w:u w:val="single"/>
        </w:rPr>
        <w:fldChar w:fldCharType="end"/>
      </w:r>
      <w:r>
        <w:rPr>
          <w:rFonts w:ascii="Helvetica Neue" w:hAnsi="Helvetica Neue" w:eastAsia="Helvetica Neue"/>
          <w:color w:val="333333"/>
          <w:sz w:val="22"/>
          <w:szCs w:val="22"/>
        </w:rPr>
        <w:t>，相关配置文件如下：</w:t>
      </w:r>
    </w:p>
    <w:p>
      <w:r>
        <w:t>global:</w:t>
      </w:r>
    </w:p>
    <w:p>
      <w:r>
        <w:t xml:space="preserve">  scrape_interval: 10s</w:t>
      </w:r>
    </w:p>
    <w:p>
      <w:r>
        <w:t xml:space="preserve">  evaluation_interval: 1s</w:t>
      </w:r>
    </w:p>
    <w:p/>
    <w:p>
      <w:r>
        <w:t>scrape_configs:</w:t>
      </w:r>
    </w:p>
    <w:p>
      <w:r>
        <w:t xml:space="preserve">  - job_name: 'vmagent'</w:t>
      </w:r>
    </w:p>
    <w:p>
      <w:r>
        <w:t xml:space="preserve">    static_configs:</w:t>
      </w:r>
    </w:p>
    <w:p>
      <w:r>
        <w:t xml:space="preserve">      - targets: ['vmagent:8429']</w:t>
      </w:r>
    </w:p>
    <w:p/>
    <w:p>
      <w:r>
        <w:t xml:space="preserve">  - job_name: 'victoriametrics'</w:t>
      </w:r>
    </w:p>
    <w:p>
      <w:r>
        <w:t xml:space="preserve">    static_configs:</w:t>
      </w:r>
    </w:p>
    <w:p>
      <w:r>
        <w:t xml:space="preserve">      - targets: ['victoriametrics:8428']</w:t>
      </w:r>
    </w:p>
    <w:p/>
    <w:p>
      <w:r>
        <w:t xml:space="preserve">  - job_name: 'tianxun-self-monitor'</w:t>
      </w:r>
    </w:p>
    <w:p>
      <w:r>
        <w:t xml:space="preserve">    metrics_path: /metrics</w:t>
      </w:r>
    </w:p>
    <w:p>
      <w:r>
        <w:t xml:space="preserve">    static_configs:</w:t>
      </w:r>
    </w:p>
    <w:p>
      <w:r>
        <w:t xml:space="preserve">      - targets: [ "self_cadvisor:8080" ]</w:t>
      </w:r>
    </w:p>
    <w:p/>
    <w:p/>
    <w:p/>
    <w:p>
      <w:pPr>
        <w:pStyle w:val="4"/>
        <w:snapToGrid w:val="0"/>
        <w:jc w:val="left"/>
        <w:rPr>
          <w:rFonts w:ascii="微软雅黑" w:hAnsi="微软雅黑" w:eastAsia="微软雅黑"/>
        </w:rPr>
      </w:pPr>
      <w:r>
        <w:rPr>
          <w:rFonts w:ascii="微软雅黑" w:hAnsi="微软雅黑" w:eastAsia="微软雅黑"/>
        </w:rPr>
        <w:t>system-vmalert</w:t>
      </w:r>
    </w:p>
    <w:p>
      <w:pPr>
        <w:snapToGrid w:val="0"/>
        <w:spacing w:before="60" w:after="60" w:line="312" w:lineRule="auto"/>
        <w:jc w:val="left"/>
        <w:rPr>
          <w:rFonts w:ascii="Helvetica Neue" w:hAnsi="Helvetica Neue" w:eastAsia="Helvetica Neue"/>
          <w:color w:val="333333"/>
          <w:sz w:val="22"/>
          <w:szCs w:val="22"/>
        </w:rPr>
      </w:pPr>
      <w:r>
        <w:rPr>
          <w:rFonts w:ascii="微软雅黑" w:hAnsi="微软雅黑" w:eastAsia="微软雅黑"/>
          <w:color w:val="333333"/>
          <w:sz w:val="22"/>
          <w:szCs w:val="22"/>
        </w:rPr>
        <w:t>兼容prometheus语法，主要功能与prometheus recording rule类似，相关文档地址：</w:t>
      </w:r>
      <w:r>
        <w:fldChar w:fldCharType="begin"/>
      </w:r>
      <w:r>
        <w:instrText xml:space="preserve"> HYPERLINK "https://docs.victoriametrics.com/vmalert.html" \h </w:instrText>
      </w:r>
      <w:r>
        <w:fldChar w:fldCharType="separate"/>
      </w:r>
      <w:r>
        <w:rPr>
          <w:rFonts w:ascii="Helvetica Neue" w:hAnsi="Helvetica Neue" w:eastAsia="Helvetica Neue"/>
          <w:color w:val="1E6FFF"/>
          <w:sz w:val="22"/>
          <w:szCs w:val="22"/>
          <w:u w:val="single"/>
        </w:rPr>
        <w:t>https://docs.victoriametrics.com/vmalert.html</w:t>
      </w:r>
      <w:r>
        <w:rPr>
          <w:rFonts w:ascii="Helvetica Neue" w:hAnsi="Helvetica Neue" w:eastAsia="Helvetica Neue"/>
          <w:color w:val="1E6FFF"/>
          <w:sz w:val="22"/>
          <w:szCs w:val="22"/>
          <w:u w:val="single"/>
        </w:rPr>
        <w:fldChar w:fldCharType="end"/>
      </w:r>
      <w:r>
        <w:rPr>
          <w:rFonts w:ascii="Helvetica Neue" w:hAnsi="Helvetica Neue" w:eastAsia="Helvetica Neue"/>
          <w:color w:val="333333"/>
          <w:sz w:val="22"/>
          <w:szCs w:val="22"/>
        </w:rPr>
        <w:t>，主要解决巡检数据单条grafana query超过30W问题</w:t>
      </w:r>
    </w:p>
    <w:p>
      <w:pPr>
        <w:snapToGrid w:val="0"/>
        <w:spacing w:before="60" w:after="60" w:line="312" w:lineRule="auto"/>
        <w:jc w:val="left"/>
        <w:rPr>
          <w:rFonts w:ascii="微软雅黑" w:hAnsi="微软雅黑" w:eastAsia="微软雅黑"/>
          <w:color w:val="333333"/>
          <w:sz w:val="22"/>
          <w:szCs w:val="22"/>
        </w:rPr>
      </w:pPr>
    </w:p>
    <w:p>
      <w:pPr>
        <w:snapToGrid w:val="0"/>
        <w:spacing w:before="60" w:after="60" w:line="312" w:lineRule="auto"/>
        <w:jc w:val="left"/>
        <w:rPr>
          <w:rFonts w:ascii="微软雅黑" w:hAnsi="微软雅黑" w:eastAsia="微软雅黑"/>
          <w:color w:val="333333"/>
          <w:sz w:val="22"/>
          <w:szCs w:val="22"/>
        </w:rPr>
      </w:pPr>
    </w:p>
    <w:p>
      <w:pPr>
        <w:snapToGrid w:val="0"/>
        <w:spacing w:before="60" w:after="60" w:line="312" w:lineRule="auto"/>
        <w:jc w:val="left"/>
        <w:rPr>
          <w:rFonts w:ascii="微软雅黑" w:hAnsi="微软雅黑" w:eastAsia="微软雅黑"/>
          <w:color w:val="333333"/>
          <w:sz w:val="22"/>
          <w:szCs w:val="22"/>
        </w:rPr>
      </w:pPr>
    </w:p>
    <w:p>
      <w:pPr>
        <w:snapToGrid w:val="0"/>
        <w:spacing w:before="60" w:after="60" w:line="312" w:lineRule="auto"/>
        <w:jc w:val="left"/>
        <w:rPr>
          <w:rFonts w:ascii="微软雅黑" w:hAnsi="微软雅黑" w:eastAsia="微软雅黑"/>
          <w:color w:val="333333"/>
          <w:sz w:val="22"/>
          <w:szCs w:val="22"/>
        </w:rPr>
      </w:pPr>
    </w:p>
    <w:sectPr>
      <w:pgSz w:w="11906" w:h="16838"/>
      <w:pgMar w:top="1361" w:right="1417" w:bottom="1361"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Helvetica Neue">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abstractNum w:abstractNumId="1">
    <w:nsid w:val="0053208E"/>
    <w:multiLevelType w:val="multilevel"/>
    <w:tmpl w:val="0053208E"/>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abstractNum>
  <w:abstractNum w:abstractNumId="2">
    <w:nsid w:val="59ADCABA"/>
    <w:multiLevelType w:val="multilevel"/>
    <w:tmpl w:val="59ADCAB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84A1131"/>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0" w:after="0"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4">
    <w:name w:val="heading 3"/>
    <w:basedOn w:val="1"/>
    <w:next w:val="1"/>
    <w:unhideWhenUsed/>
    <w:qFormat/>
    <w:uiPriority w:val="9"/>
    <w:pPr>
      <w:keepNext/>
      <w:keepLines/>
      <w:spacing w:before="0" w:after="0" w:line="408" w:lineRule="auto"/>
      <w:jc w:val="left"/>
      <w:outlineLvl w:val="2"/>
    </w:pPr>
    <w:rPr>
      <w:b/>
      <w:bCs/>
      <w:color w:val="1A1A1A"/>
      <w:sz w:val="28"/>
      <w:szCs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itle"/>
    <w:basedOn w:val="1"/>
    <w:next w:val="1"/>
    <w:qFormat/>
    <w:uiPriority w:val="10"/>
    <w:pPr>
      <w:spacing w:before="0" w:after="0" w:line="480" w:lineRule="auto"/>
      <w:jc w:val="center"/>
      <w:outlineLvl w:val="0"/>
    </w:pPr>
    <w:rPr>
      <w:rFonts w:asciiTheme="majorHAnsi" w:hAnsiTheme="majorHAnsi" w:eastAsiaTheme="majorEastAsia" w:cstheme="majorBidi"/>
      <w:b/>
      <w:bCs/>
      <w:color w:val="auto"/>
      <w:sz w:val="48"/>
      <w:szCs w:val="32"/>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6"/>
    <w:semiHidden/>
    <w:qFormat/>
    <w:uiPriority w:val="99"/>
    <w:rPr>
      <w:sz w:val="18"/>
      <w:szCs w:val="18"/>
    </w:rPr>
  </w:style>
  <w:style w:type="character" w:customStyle="1" w:styleId="12">
    <w:name w:val="页脚 字符"/>
    <w:basedOn w:val="10"/>
    <w:link w:val="5"/>
    <w:semiHidden/>
    <w:qFormat/>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TotalTime>
  <ScaleCrop>false</ScaleCrop>
  <LinksUpToDate>false</LinksUpToDate>
  <CharactersWithSpaces>123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JACK</cp:lastModifiedBy>
  <dcterms:modified xsi:type="dcterms:W3CDTF">2022-03-16T16:05:02Z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A50250BC9FEE43C99506026731B2C329</vt:lpwstr>
  </property>
</Properties>
</file>