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4"/>
        </w:rPr>
        <w:t>Silver Layer Logical Data Model</w:t>
        <w:br/>
        <w:t>Review &amp; Assessment Report</w:t>
      </w:r>
    </w:p>
    <w:p/>
    <w:p>
      <w:pPr>
        <w:jc w:val="center"/>
      </w:pPr>
      <w:r>
        <w:rPr>
          <w:b w:val="0"/>
          <w:color w:val="707070"/>
          <w:sz w:val="28"/>
        </w:rPr>
        <w:t>RAKBANK — Enterprise Data Platform</w:t>
      </w:r>
    </w:p>
    <w:p/>
    <w:p>
      <w:pPr>
        <w:jc w:val="center"/>
      </w:pPr>
      <w:r>
        <w:rPr>
          <w:i/>
          <w:sz w:val="20"/>
        </w:rPr>
        <w:t>Date: 14 April 2026     |     Classification: Internal — Restricted</w:t>
      </w:r>
    </w:p>
    <w:p>
      <w:r>
        <w:br w:type="page"/>
      </w:r>
    </w:p>
    <w:p>
      <w:pPr>
        <w:pStyle w:val="Heading1"/>
      </w:pPr>
      <w:r>
        <w:t>1. Executive Summary</w:t>
      </w:r>
    </w:p>
    <w:p>
      <w:pPr>
        <w:spacing w:after="120"/>
      </w:pPr>
      <w:r>
        <w:t>This report presents a thorough review of the logical data model submitted for the Silver Analytical layer of the RAKBANK Enterprise Data Platform. The review covers three dimensions:</w:t>
        <w:br/>
        <w:br/>
        <w:t>(1) Structural and content findings per entity and subject area;</w:t>
        <w:br/>
        <w:t>(2) Silver vs Gold layer classification — identifying attributes and entities that have been placed in the wrong architectural layer;</w:t>
        <w:br/>
        <w:t>(3) Normalisation and denormalisation assessment — confirming whether the model applies the correct structural patterns for a silver analytical model in a banking context.</w:t>
        <w:br/>
        <w:br/>
        <w:t>The model covers 16 subject areas, approximately 425 entities, and ~6,800 attributes. It demonstrates a solid foundation in the Customer 360, Credit Card, and Electronic Transaction domains. However, several critical issues require resolution before physical implementation should proceed.</w:t>
      </w:r>
    </w:p>
    <w:p>
      <w:pPr>
        <w:pStyle w:val="Heading2"/>
      </w:pPr>
      <w:r>
        <w:t>Overall Assessment Scorecard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F3864" w:val="clear"/>
          </w:tcPr>
          <w:p>
            <w:pPr>
              <w:spacing w:after="0"/>
            </w:pPr>
            <w:r/>
            <w:r>
              <w:rPr>
                <w:b/>
                <w:i w:val="0"/>
                <w:color w:val="FFFFFF"/>
                <w:sz w:val="18"/>
              </w:rPr>
              <w:t>Dimension</w:t>
            </w:r>
          </w:p>
        </w:tc>
        <w:tc>
          <w:tcPr>
            <w:tcW w:type="dxa" w:w="2493"/>
            <w:shd w:fill="1F3864" w:val="clear"/>
          </w:tcPr>
          <w:p>
            <w:pPr>
              <w:spacing w:after="0"/>
            </w:pPr>
            <w:r/>
            <w:r>
              <w:rPr>
                <w:b/>
                <w:i w:val="0"/>
                <w:color w:val="FFFFFF"/>
                <w:sz w:val="18"/>
              </w:rPr>
              <w:t>Score</w:t>
            </w:r>
          </w:p>
        </w:tc>
        <w:tc>
          <w:tcPr>
            <w:tcW w:type="dxa" w:w="2493"/>
            <w:shd w:fill="1F3864" w:val="clear"/>
          </w:tcPr>
          <w:p>
            <w:pPr>
              <w:spacing w:after="0"/>
            </w:pPr>
            <w:r/>
            <w:r>
              <w:rPr>
                <w:b/>
                <w:i w:val="0"/>
                <w:color w:val="FFFFFF"/>
                <w:sz w:val="18"/>
              </w:rPr>
              <w:t>Status</w:t>
            </w:r>
          </w:p>
        </w:tc>
        <w:tc>
          <w:tcPr>
            <w:tcW w:type="dxa" w:w="2493"/>
            <w:shd w:fill="1F3864" w:val="clear"/>
          </w:tcPr>
          <w:p>
            <w:pPr>
              <w:spacing w:after="0"/>
            </w:pPr>
            <w:r/>
            <w:r>
              <w:rPr>
                <w:b/>
                <w:i w:val="0"/>
                <w:color w:val="FFFFFF"/>
                <w:sz w:val="18"/>
              </w:rPr>
              <w:t>Key Finding</w:t>
            </w:r>
          </w:p>
        </w:tc>
      </w:tr>
      <w:tr>
        <w:tc>
          <w:tcPr>
            <w:tcW w:type="dxa" w:w="2493"/>
          </w:tcPr>
          <w:p>
            <w:pPr>
              <w:spacing w:after="0"/>
            </w:pPr>
            <w:r/>
            <w:r>
              <w:rPr>
                <w:b w:val="0"/>
                <w:i w:val="0"/>
                <w:sz w:val="18"/>
              </w:rPr>
              <w:t>Subject Area Coverage</w:t>
            </w:r>
          </w:p>
        </w:tc>
        <w:tc>
          <w:tcPr>
            <w:tcW w:type="dxa" w:w="2493"/>
          </w:tcPr>
          <w:p>
            <w:pPr>
              <w:spacing w:after="0"/>
            </w:pPr>
            <w:r/>
            <w:r>
              <w:rPr>
                <w:b/>
                <w:i w:val="0"/>
                <w:sz w:val="18"/>
              </w:rPr>
              <w:t>5/10</w:t>
            </w:r>
          </w:p>
        </w:tc>
        <w:tc>
          <w:tcPr>
            <w:tcW w:type="dxa" w:w="2493"/>
            <w:shd w:fill="FFE699" w:val="clear"/>
          </w:tcPr>
          <w:p>
            <w:pPr>
              <w:spacing w:after="0"/>
            </w:pPr>
            <w:r/>
            <w:r>
              <w:rPr>
                <w:b/>
                <w:i w:val="0"/>
                <w:sz w:val="18"/>
              </w:rPr>
              <w:t>NEEDS WORK</w:t>
            </w:r>
          </w:p>
        </w:tc>
        <w:tc>
          <w:tcPr>
            <w:tcW w:type="dxa" w:w="2493"/>
          </w:tcPr>
          <w:p>
            <w:pPr>
              <w:spacing w:after="0"/>
            </w:pPr>
            <w:r/>
            <w:r>
              <w:rPr>
                <w:b w:val="0"/>
                <w:i w:val="0"/>
                <w:sz w:val="18"/>
              </w:rPr>
              <w:t>Critical gaps: Payments, Product, AML, Islamic Finance, Treasury, Regulatory</w:t>
            </w:r>
          </w:p>
        </w:tc>
      </w:tr>
      <w:tr>
        <w:tc>
          <w:tcPr>
            <w:tcW w:type="dxa" w:w="2493"/>
          </w:tcPr>
          <w:p>
            <w:pPr>
              <w:spacing w:after="0"/>
            </w:pPr>
            <w:r/>
            <w:r>
              <w:rPr>
                <w:b w:val="0"/>
                <w:i w:val="0"/>
                <w:sz w:val="18"/>
              </w:rPr>
              <w:t>Entity Completeness</w:t>
            </w:r>
          </w:p>
        </w:tc>
        <w:tc>
          <w:tcPr>
            <w:tcW w:type="dxa" w:w="2493"/>
          </w:tcPr>
          <w:p>
            <w:pPr>
              <w:spacing w:after="0"/>
            </w:pPr>
            <w:r/>
            <w:r>
              <w:rPr>
                <w:b/>
                <w:i w:val="0"/>
                <w:sz w:val="18"/>
              </w:rPr>
              <w:t>5/10</w:t>
            </w:r>
          </w:p>
        </w:tc>
        <w:tc>
          <w:tcPr>
            <w:tcW w:type="dxa" w:w="2493"/>
            <w:shd w:fill="FFE699" w:val="clear"/>
          </w:tcPr>
          <w:p>
            <w:pPr>
              <w:spacing w:after="0"/>
            </w:pPr>
            <w:r/>
            <w:r>
              <w:rPr>
                <w:b/>
                <w:i w:val="0"/>
                <w:sz w:val="18"/>
              </w:rPr>
              <w:t>NEEDS WORK</w:t>
            </w:r>
          </w:p>
        </w:tc>
        <w:tc>
          <w:tcPr>
            <w:tcW w:type="dxa" w:w="2493"/>
          </w:tcPr>
          <w:p>
            <w:pPr>
              <w:spacing w:after="0"/>
            </w:pPr>
            <w:r/>
            <w:r>
              <w:rPr>
                <w:b w:val="0"/>
                <w:i w:val="0"/>
                <w:sz w:val="18"/>
              </w:rPr>
              <w:t>Thin entities: Loan_Agreement (16 attrs), GL_TRANSACTIONS (18 attrs), Deposit Term Account (13 attrs)</w:t>
            </w:r>
          </w:p>
        </w:tc>
      </w:tr>
      <w:tr>
        <w:tc>
          <w:tcPr>
            <w:tcW w:type="dxa" w:w="2493"/>
          </w:tcPr>
          <w:p>
            <w:pPr>
              <w:spacing w:after="0"/>
            </w:pPr>
            <w:r/>
            <w:r>
              <w:rPr>
                <w:b w:val="0"/>
                <w:i w:val="0"/>
                <w:sz w:val="18"/>
              </w:rPr>
              <w:t>Attribute Data Types</w:t>
            </w:r>
          </w:p>
        </w:tc>
        <w:tc>
          <w:tcPr>
            <w:tcW w:type="dxa" w:w="2493"/>
          </w:tcPr>
          <w:p>
            <w:pPr>
              <w:spacing w:after="0"/>
            </w:pPr>
            <w:r/>
            <w:r>
              <w:rPr>
                <w:b/>
                <w:i w:val="0"/>
                <w:sz w:val="18"/>
              </w:rPr>
              <w:t>3/10</w:t>
            </w:r>
          </w:p>
        </w:tc>
        <w:tc>
          <w:tcPr>
            <w:tcW w:type="dxa" w:w="2493"/>
            <w:shd w:fill="FFB3B3" w:val="clear"/>
          </w:tcPr>
          <w:p>
            <w:pPr>
              <w:spacing w:after="0"/>
            </w:pPr>
            <w:r/>
            <w:r>
              <w:rPr>
                <w:b/>
                <w:i w:val="0"/>
                <w:sz w:val="18"/>
              </w:rPr>
              <w:t>CRITICAL</w:t>
            </w:r>
          </w:p>
        </w:tc>
        <w:tc>
          <w:tcPr>
            <w:tcW w:type="dxa" w:w="2493"/>
          </w:tcPr>
          <w:p>
            <w:pPr>
              <w:spacing w:after="0"/>
            </w:pPr>
            <w:r/>
            <w:r>
              <w:rPr>
                <w:b w:val="0"/>
                <w:i w:val="0"/>
                <w:sz w:val="18"/>
              </w:rPr>
              <w:t>All attributes typed STRING / CHAR(18) — no semantic types applied</w:t>
            </w:r>
          </w:p>
        </w:tc>
      </w:tr>
      <w:tr>
        <w:tc>
          <w:tcPr>
            <w:tcW w:type="dxa" w:w="2493"/>
          </w:tcPr>
          <w:p>
            <w:pPr>
              <w:spacing w:after="0"/>
            </w:pPr>
            <w:r/>
            <w:r>
              <w:rPr>
                <w:b w:val="0"/>
                <w:i w:val="0"/>
                <w:sz w:val="18"/>
              </w:rPr>
              <w:t>SCD / History Design</w:t>
            </w:r>
          </w:p>
        </w:tc>
        <w:tc>
          <w:tcPr>
            <w:tcW w:type="dxa" w:w="2493"/>
          </w:tcPr>
          <w:p>
            <w:pPr>
              <w:spacing w:after="0"/>
            </w:pPr>
            <w:r/>
            <w:r>
              <w:rPr>
                <w:b/>
                <w:i w:val="0"/>
                <w:sz w:val="18"/>
              </w:rPr>
              <w:t>5/10</w:t>
            </w:r>
          </w:p>
        </w:tc>
        <w:tc>
          <w:tcPr>
            <w:tcW w:type="dxa" w:w="2493"/>
            <w:shd w:fill="FFE699" w:val="clear"/>
          </w:tcPr>
          <w:p>
            <w:pPr>
              <w:spacing w:after="0"/>
            </w:pPr>
            <w:r/>
            <w:r>
              <w:rPr>
                <w:b/>
                <w:i w:val="0"/>
                <w:sz w:val="18"/>
              </w:rPr>
              <w:t>NEEDS WORK</w:t>
            </w:r>
          </w:p>
        </w:tc>
        <w:tc>
          <w:tcPr>
            <w:tcW w:type="dxa" w:w="2493"/>
          </w:tcPr>
          <w:p>
            <w:pPr>
              <w:spacing w:after="0"/>
            </w:pPr>
            <w:r/>
            <w:r>
              <w:rPr>
                <w:b w:val="0"/>
                <w:i w:val="0"/>
                <w:sz w:val="18"/>
              </w:rPr>
              <w:t>Business Start/End Date present but wrongly typed; no record_hash</w:t>
            </w:r>
          </w:p>
        </w:tc>
      </w:tr>
      <w:tr>
        <w:tc>
          <w:tcPr>
            <w:tcW w:type="dxa" w:w="2493"/>
          </w:tcPr>
          <w:p>
            <w:pPr>
              <w:spacing w:after="0"/>
            </w:pPr>
            <w:r/>
            <w:r>
              <w:rPr>
                <w:b w:val="0"/>
                <w:i w:val="0"/>
                <w:sz w:val="18"/>
              </w:rPr>
              <w:t>Metadata Standards</w:t>
            </w:r>
          </w:p>
        </w:tc>
        <w:tc>
          <w:tcPr>
            <w:tcW w:type="dxa" w:w="2493"/>
          </w:tcPr>
          <w:p>
            <w:pPr>
              <w:spacing w:after="0"/>
            </w:pPr>
            <w:r/>
            <w:r>
              <w:rPr>
                <w:b/>
                <w:i w:val="0"/>
                <w:sz w:val="18"/>
              </w:rPr>
              <w:t>5/10</w:t>
            </w:r>
          </w:p>
        </w:tc>
        <w:tc>
          <w:tcPr>
            <w:tcW w:type="dxa" w:w="2493"/>
            <w:shd w:fill="FFE699" w:val="clear"/>
          </w:tcPr>
          <w:p>
            <w:pPr>
              <w:spacing w:after="0"/>
            </w:pPr>
            <w:r/>
            <w:r>
              <w:rPr>
                <w:b/>
                <w:i w:val="0"/>
                <w:sz w:val="18"/>
              </w:rPr>
              <w:t>NEEDS WORK</w:t>
            </w:r>
          </w:p>
        </w:tc>
        <w:tc>
          <w:tcPr>
            <w:tcW w:type="dxa" w:w="2493"/>
          </w:tcPr>
          <w:p>
            <w:pPr>
              <w:spacing w:after="0"/>
            </w:pPr>
            <w:r/>
            <w:r>
              <w:rPr>
                <w:b w:val="0"/>
                <w:i w:val="0"/>
                <w:sz w:val="18"/>
              </w:rPr>
              <w:t>Missing batch_id, load_timestamp, record_hash, dq_status on most entities</w:t>
            </w:r>
          </w:p>
        </w:tc>
      </w:tr>
      <w:tr>
        <w:tc>
          <w:tcPr>
            <w:tcW w:type="dxa" w:w="2493"/>
          </w:tcPr>
          <w:p>
            <w:pPr>
              <w:spacing w:after="0"/>
            </w:pPr>
            <w:r/>
            <w:r>
              <w:rPr>
                <w:b w:val="0"/>
                <w:i w:val="0"/>
                <w:sz w:val="18"/>
              </w:rPr>
              <w:t>Naming Convention</w:t>
            </w:r>
          </w:p>
        </w:tc>
        <w:tc>
          <w:tcPr>
            <w:tcW w:type="dxa" w:w="2493"/>
          </w:tcPr>
          <w:p>
            <w:pPr>
              <w:spacing w:after="0"/>
            </w:pPr>
            <w:r/>
            <w:r>
              <w:rPr>
                <w:b/>
                <w:i w:val="0"/>
                <w:sz w:val="18"/>
              </w:rPr>
              <w:t>4/10</w:t>
            </w:r>
          </w:p>
        </w:tc>
        <w:tc>
          <w:tcPr>
            <w:tcW w:type="dxa" w:w="2493"/>
            <w:shd w:fill="FFE699" w:val="clear"/>
          </w:tcPr>
          <w:p>
            <w:pPr>
              <w:spacing w:after="0"/>
            </w:pPr>
            <w:r/>
            <w:r>
              <w:rPr>
                <w:b/>
                <w:i w:val="0"/>
                <w:sz w:val="18"/>
              </w:rPr>
              <w:t>NEEDS WORK</w:t>
            </w:r>
          </w:p>
        </w:tc>
        <w:tc>
          <w:tcPr>
            <w:tcW w:type="dxa" w:w="2493"/>
          </w:tcPr>
          <w:p>
            <w:pPr>
              <w:spacing w:after="0"/>
            </w:pPr>
            <w:r/>
            <w:r>
              <w:rPr>
                <w:b w:val="0"/>
                <w:i w:val="0"/>
                <w:sz w:val="18"/>
              </w:rPr>
              <w:t>Four naming styles coexist (PascalCase, ALL_CAPS, sentence case, mixed)</w:t>
            </w:r>
          </w:p>
        </w:tc>
      </w:tr>
      <w:tr>
        <w:tc>
          <w:tcPr>
            <w:tcW w:type="dxa" w:w="2493"/>
          </w:tcPr>
          <w:p>
            <w:pPr>
              <w:spacing w:after="0"/>
            </w:pPr>
            <w:r/>
            <w:r>
              <w:rPr>
                <w:b w:val="0"/>
                <w:i w:val="0"/>
                <w:sz w:val="18"/>
              </w:rPr>
              <w:t>Reference Data Governance</w:t>
            </w:r>
          </w:p>
        </w:tc>
        <w:tc>
          <w:tcPr>
            <w:tcW w:type="dxa" w:w="2493"/>
          </w:tcPr>
          <w:p>
            <w:pPr>
              <w:spacing w:after="0"/>
            </w:pPr>
            <w:r/>
            <w:r>
              <w:rPr>
                <w:b/>
                <w:i w:val="0"/>
                <w:sz w:val="18"/>
              </w:rPr>
              <w:t>2/10</w:t>
            </w:r>
          </w:p>
        </w:tc>
        <w:tc>
          <w:tcPr>
            <w:tcW w:type="dxa" w:w="2493"/>
            <w:shd w:fill="FFB3B3" w:val="clear"/>
          </w:tcPr>
          <w:p>
            <w:pPr>
              <w:spacing w:after="0"/>
            </w:pPr>
            <w:r/>
            <w:r>
              <w:rPr>
                <w:b/>
                <w:i w:val="0"/>
                <w:sz w:val="18"/>
              </w:rPr>
              <w:t>CRITICAL</w:t>
            </w:r>
          </w:p>
        </w:tc>
        <w:tc>
          <w:tcPr>
            <w:tcW w:type="dxa" w:w="2493"/>
          </w:tcPr>
          <w:p>
            <w:pPr>
              <w:spacing w:after="0"/>
            </w:pPr>
            <w:r/>
            <w:r>
              <w:rPr>
                <w:b w:val="0"/>
                <w:i w:val="0"/>
                <w:sz w:val="18"/>
              </w:rPr>
              <w:t>Same reference entities duplicated across 5-8 subject areas</w:t>
            </w:r>
          </w:p>
        </w:tc>
      </w:tr>
      <w:tr>
        <w:tc>
          <w:tcPr>
            <w:tcW w:type="dxa" w:w="2493"/>
          </w:tcPr>
          <w:p>
            <w:pPr>
              <w:spacing w:after="0"/>
            </w:pPr>
            <w:r/>
            <w:r>
              <w:rPr>
                <w:b w:val="0"/>
                <w:i w:val="0"/>
                <w:sz w:val="18"/>
              </w:rPr>
              <w:t>Silver Layer Purity</w:t>
            </w:r>
          </w:p>
        </w:tc>
        <w:tc>
          <w:tcPr>
            <w:tcW w:type="dxa" w:w="2493"/>
          </w:tcPr>
          <w:p>
            <w:pPr>
              <w:spacing w:after="0"/>
            </w:pPr>
            <w:r/>
            <w:r>
              <w:rPr>
                <w:b/>
                <w:i w:val="0"/>
                <w:sz w:val="18"/>
              </w:rPr>
              <w:t>4/10</w:t>
            </w:r>
          </w:p>
        </w:tc>
        <w:tc>
          <w:tcPr>
            <w:tcW w:type="dxa" w:w="2493"/>
            <w:shd w:fill="FFB3B3" w:val="clear"/>
          </w:tcPr>
          <w:p>
            <w:pPr>
              <w:spacing w:after="0"/>
            </w:pPr>
            <w:r/>
            <w:r>
              <w:rPr>
                <w:b/>
                <w:i w:val="0"/>
                <w:sz w:val="18"/>
              </w:rPr>
              <w:t>CRITICAL</w:t>
            </w:r>
          </w:p>
        </w:tc>
        <w:tc>
          <w:tcPr>
            <w:tcW w:type="dxa" w:w="2493"/>
          </w:tcPr>
          <w:p>
            <w:pPr>
              <w:spacing w:after="0"/>
            </w:pPr>
            <w:r/>
            <w:r>
              <w:rPr>
                <w:b w:val="0"/>
                <w:i w:val="0"/>
                <w:sz w:val="18"/>
              </w:rPr>
              <w:t>~15-20 Gold/ML layer entities misplaced in ORM subject area</w:t>
            </w:r>
          </w:p>
        </w:tc>
      </w:tr>
      <w:tr>
        <w:tc>
          <w:tcPr>
            <w:tcW w:type="dxa" w:w="2493"/>
          </w:tcPr>
          <w:p>
            <w:pPr>
              <w:spacing w:after="0"/>
            </w:pPr>
            <w:r/>
            <w:r>
              <w:rPr>
                <w:b w:val="0"/>
                <w:i w:val="0"/>
                <w:sz w:val="18"/>
              </w:rPr>
              <w:t>Regulatory Coverage</w:t>
            </w:r>
          </w:p>
        </w:tc>
        <w:tc>
          <w:tcPr>
            <w:tcW w:type="dxa" w:w="2493"/>
          </w:tcPr>
          <w:p>
            <w:pPr>
              <w:spacing w:after="0"/>
            </w:pPr>
            <w:r/>
            <w:r>
              <w:rPr>
                <w:b/>
                <w:i w:val="0"/>
                <w:sz w:val="18"/>
              </w:rPr>
              <w:t>4/10</w:t>
            </w:r>
          </w:p>
        </w:tc>
        <w:tc>
          <w:tcPr>
            <w:tcW w:type="dxa" w:w="2493"/>
            <w:shd w:fill="FFE699" w:val="clear"/>
          </w:tcPr>
          <w:p>
            <w:pPr>
              <w:spacing w:after="0"/>
            </w:pPr>
            <w:r/>
            <w:r>
              <w:rPr>
                <w:b/>
                <w:i w:val="0"/>
                <w:sz w:val="18"/>
              </w:rPr>
              <w:t>NEEDS WORK</w:t>
            </w:r>
          </w:p>
        </w:tc>
        <w:tc>
          <w:tcPr>
            <w:tcW w:type="dxa" w:w="2493"/>
          </w:tcPr>
          <w:p>
            <w:pPr>
              <w:spacing w:after="0"/>
            </w:pPr>
            <w:r/>
            <w:r>
              <w:rPr>
                <w:b w:val="0"/>
                <w:i w:val="0"/>
                <w:sz w:val="18"/>
              </w:rPr>
              <w:t>Basel III ECL parameters, AML entities, Islamic Finance absent</w:t>
            </w:r>
          </w:p>
        </w:tc>
      </w:tr>
      <w:tr>
        <w:tc>
          <w:tcPr>
            <w:tcW w:type="dxa" w:w="2493"/>
          </w:tcPr>
          <w:p>
            <w:pPr>
              <w:spacing w:after="0"/>
            </w:pPr>
            <w:r/>
            <w:r>
              <w:rPr>
                <w:b w:val="0"/>
                <w:i w:val="0"/>
                <w:sz w:val="18"/>
              </w:rPr>
              <w:t>Normalisation Quality</w:t>
            </w:r>
          </w:p>
        </w:tc>
        <w:tc>
          <w:tcPr>
            <w:tcW w:type="dxa" w:w="2493"/>
          </w:tcPr>
          <w:p>
            <w:pPr>
              <w:spacing w:after="0"/>
            </w:pPr>
            <w:r/>
            <w:r>
              <w:rPr>
                <w:b/>
                <w:i w:val="0"/>
                <w:sz w:val="18"/>
              </w:rPr>
              <w:t>4/10</w:t>
            </w:r>
          </w:p>
        </w:tc>
        <w:tc>
          <w:tcPr>
            <w:tcW w:type="dxa" w:w="2493"/>
            <w:shd w:fill="FFE699" w:val="clear"/>
          </w:tcPr>
          <w:p>
            <w:pPr>
              <w:spacing w:after="0"/>
            </w:pPr>
            <w:r/>
            <w:r>
              <w:rPr>
                <w:b/>
                <w:i w:val="0"/>
                <w:sz w:val="18"/>
              </w:rPr>
              <w:t>NEEDS WORK</w:t>
            </w:r>
          </w:p>
        </w:tc>
        <w:tc>
          <w:tcPr>
            <w:tcW w:type="dxa" w:w="2493"/>
          </w:tcPr>
          <w:p>
            <w:pPr>
              <w:spacing w:after="0"/>
            </w:pPr>
            <w:r/>
            <w:r>
              <w:rPr>
                <w:b w:val="0"/>
                <w:i w:val="0"/>
                <w:sz w:val="18"/>
              </w:rPr>
              <w:t>Embedded RM attributes, repeating groups, duplicate reference tables</w:t>
            </w:r>
          </w:p>
        </w:tc>
      </w:tr>
    </w:tbl>
    <w:p/>
    <w:p>
      <w:pPr>
        <w:pStyle w:val="Heading1"/>
      </w:pPr>
      <w:r>
        <w:t>2. Review Framework</w:t>
      </w:r>
    </w:p>
    <w:p>
      <w:pPr>
        <w:pStyle w:val="Heading2"/>
      </w:pPr>
      <w:r>
        <w:t>2.1 Silver Layer Expectations — Banking Context</w:t>
      </w:r>
    </w:p>
    <w:p>
      <w:r>
        <w:t>The Silver Analytical layer in a banking data platform must satisfy the following standards:</w:t>
        <w:br/>
        <w:br/>
        <w:t>• Source-system-agnostic conformed entities with canonical business definitions</w:t>
        <w:br/>
        <w:t>• Proper time-varying data via SCD Type 2 (effective_from, effective_to, is_current_flag)</w:t>
        <w:br/>
        <w:t>• Full lineage metadata on every entity (source_system, batch_id, load_timestamp, record_hash)</w:t>
        <w:br/>
        <w:t>• Semantic data types (DATE, DECIMAL, BOOLEAN) — not generic strings</w:t>
        <w:br/>
        <w:t>• Explicit foreign key relationships documented in the logical model</w:t>
        <w:br/>
        <w:t>• A unified Reference Data domain shared across subject areas</w:t>
        <w:br/>
        <w:t>• Regulatory coverage for CBUAE SupTech, Basel III, IFRS 9, PCI DSS, AML/CFT</w:t>
        <w:br/>
        <w:t>• No pre-aggregated, dashboard, or ML-output artefacts — those belong in Gold</w:t>
      </w:r>
    </w:p>
    <w:p>
      <w:pPr>
        <w:pStyle w:val="Heading2"/>
      </w:pPr>
      <w:r>
        <w:t>2.2 Silver vs Gold Boundary</w:t>
      </w:r>
    </w:p>
    <w:tbl>
      <w:tblPr>
        <w:tblStyle w:val="TableGrid"/>
        <w:tblW w:type="auto" w:w="0"/>
        <w:tblLook w:firstColumn="1" w:firstRow="1" w:lastColumn="0" w:lastRow="0" w:noHBand="0" w:noVBand="1" w:val="04A0"/>
      </w:tblPr>
      <w:tblGrid>
        <w:gridCol w:w="3324"/>
        <w:gridCol w:w="3324"/>
        <w:gridCol w:w="3324"/>
      </w:tblGrid>
      <w:tr>
        <w:tc>
          <w:tcPr>
            <w:tcW w:type="dxa" w:w="3324"/>
            <w:shd w:fill="1F3864" w:val="clear"/>
          </w:tcPr>
          <w:p>
            <w:pPr>
              <w:spacing w:after="0"/>
            </w:pPr>
            <w:r/>
            <w:r>
              <w:rPr>
                <w:b/>
                <w:i w:val="0"/>
                <w:color w:val="FFFFFF"/>
                <w:sz w:val="18"/>
              </w:rPr>
              <w:t>Content Type</w:t>
            </w:r>
          </w:p>
        </w:tc>
        <w:tc>
          <w:tcPr>
            <w:tcW w:type="dxa" w:w="3324"/>
            <w:shd w:fill="1F3864" w:val="clear"/>
          </w:tcPr>
          <w:p>
            <w:pPr>
              <w:spacing w:after="0"/>
            </w:pPr>
            <w:r/>
            <w:r>
              <w:rPr>
                <w:b/>
                <w:i w:val="0"/>
                <w:color w:val="FFFFFF"/>
                <w:sz w:val="18"/>
              </w:rPr>
              <w:t>Correct Layer</w:t>
            </w:r>
          </w:p>
        </w:tc>
        <w:tc>
          <w:tcPr>
            <w:tcW w:type="dxa" w:w="3324"/>
            <w:shd w:fill="1F3864" w:val="clear"/>
          </w:tcPr>
          <w:p>
            <w:pPr>
              <w:spacing w:after="0"/>
            </w:pPr>
            <w:r/>
            <w:r>
              <w:rPr>
                <w:b/>
                <w:i w:val="0"/>
                <w:color w:val="FFFFFF"/>
                <w:sz w:val="18"/>
              </w:rPr>
              <w:t>Rationale</w:t>
            </w:r>
          </w:p>
        </w:tc>
      </w:tr>
      <w:tr>
        <w:tc>
          <w:tcPr>
            <w:tcW w:type="dxa" w:w="3324"/>
          </w:tcPr>
          <w:p>
            <w:pPr>
              <w:spacing w:after="0"/>
            </w:pPr>
            <w:r/>
            <w:r>
              <w:rPr>
                <w:b w:val="0"/>
                <w:i w:val="0"/>
                <w:sz w:val="18"/>
              </w:rPr>
              <w:t>Master data (customer, account, product)</w:t>
            </w:r>
          </w:p>
        </w:tc>
        <w:tc>
          <w:tcPr>
            <w:tcW w:type="dxa" w:w="3324"/>
            <w:shd w:fill="E2EFDA" w:val="clear"/>
          </w:tcPr>
          <w:p>
            <w:pPr>
              <w:spacing w:after="0"/>
            </w:pPr>
            <w:r/>
            <w:r>
              <w:rPr>
                <w:b/>
                <w:i w:val="0"/>
                <w:sz w:val="18"/>
              </w:rPr>
              <w:t>SILVER</w:t>
            </w:r>
          </w:p>
        </w:tc>
        <w:tc>
          <w:tcPr>
            <w:tcW w:type="dxa" w:w="3324"/>
          </w:tcPr>
          <w:p>
            <w:pPr>
              <w:spacing w:after="0"/>
            </w:pPr>
            <w:r/>
            <w:r>
              <w:rPr>
                <w:b w:val="0"/>
                <w:i w:val="0"/>
                <w:sz w:val="18"/>
              </w:rPr>
              <w:t>Foundational entities — immutable business definitions</w:t>
            </w:r>
          </w:p>
        </w:tc>
      </w:tr>
      <w:tr>
        <w:tc>
          <w:tcPr>
            <w:tcW w:type="dxa" w:w="3324"/>
          </w:tcPr>
          <w:p>
            <w:pPr>
              <w:spacing w:after="0"/>
            </w:pPr>
            <w:r/>
            <w:r>
              <w:rPr>
                <w:b w:val="0"/>
                <w:i w:val="0"/>
                <w:sz w:val="18"/>
              </w:rPr>
              <w:t>Transactional data (cleansed, conformed)</w:t>
            </w:r>
          </w:p>
        </w:tc>
        <w:tc>
          <w:tcPr>
            <w:tcW w:type="dxa" w:w="3324"/>
            <w:shd w:fill="E2EFDA" w:val="clear"/>
          </w:tcPr>
          <w:p>
            <w:pPr>
              <w:spacing w:after="0"/>
            </w:pPr>
            <w:r/>
            <w:r>
              <w:rPr>
                <w:b/>
                <w:i w:val="0"/>
                <w:sz w:val="18"/>
              </w:rPr>
              <w:t>SILVER</w:t>
            </w:r>
          </w:p>
        </w:tc>
        <w:tc>
          <w:tcPr>
            <w:tcW w:type="dxa" w:w="3324"/>
          </w:tcPr>
          <w:p>
            <w:pPr>
              <w:spacing w:after="0"/>
            </w:pPr>
            <w:r/>
            <w:r>
              <w:rPr>
                <w:b w:val="0"/>
                <w:i w:val="0"/>
                <w:sz w:val="18"/>
              </w:rPr>
              <w:t>Cleansed and typed from Bronze; no aggregation</w:t>
            </w:r>
          </w:p>
        </w:tc>
      </w:tr>
      <w:tr>
        <w:tc>
          <w:tcPr>
            <w:tcW w:type="dxa" w:w="3324"/>
          </w:tcPr>
          <w:p>
            <w:pPr>
              <w:spacing w:after="0"/>
            </w:pPr>
            <w:r/>
            <w:r>
              <w:rPr>
                <w:b w:val="0"/>
                <w:i w:val="0"/>
                <w:sz w:val="18"/>
              </w:rPr>
              <w:t>Reference / lookup tables (canonical, single copy)</w:t>
            </w:r>
          </w:p>
        </w:tc>
        <w:tc>
          <w:tcPr>
            <w:tcW w:type="dxa" w:w="3324"/>
            <w:shd w:fill="E2EFDA" w:val="clear"/>
          </w:tcPr>
          <w:p>
            <w:pPr>
              <w:spacing w:after="0"/>
            </w:pPr>
            <w:r/>
            <w:r>
              <w:rPr>
                <w:b/>
                <w:i w:val="0"/>
                <w:sz w:val="18"/>
              </w:rPr>
              <w:t>SILVER</w:t>
            </w:r>
          </w:p>
        </w:tc>
        <w:tc>
          <w:tcPr>
            <w:tcW w:type="dxa" w:w="3324"/>
          </w:tcPr>
          <w:p>
            <w:pPr>
              <w:spacing w:after="0"/>
            </w:pPr>
            <w:r/>
            <w:r>
              <w:rPr>
                <w:b w:val="0"/>
                <w:i w:val="0"/>
                <w:sz w:val="18"/>
              </w:rPr>
              <w:t>Shared across subject areas from a single source</w:t>
            </w:r>
          </w:p>
        </w:tc>
      </w:tr>
      <w:tr>
        <w:tc>
          <w:tcPr>
            <w:tcW w:type="dxa" w:w="3324"/>
          </w:tcPr>
          <w:p>
            <w:pPr>
              <w:spacing w:after="0"/>
            </w:pPr>
            <w:r/>
            <w:r>
              <w:rPr>
                <w:b w:val="0"/>
                <w:i w:val="0"/>
                <w:sz w:val="18"/>
              </w:rPr>
              <w:t>SCD Type 2 history tables</w:t>
            </w:r>
          </w:p>
        </w:tc>
        <w:tc>
          <w:tcPr>
            <w:tcW w:type="dxa" w:w="3324"/>
            <w:shd w:fill="E2EFDA" w:val="clear"/>
          </w:tcPr>
          <w:p>
            <w:pPr>
              <w:spacing w:after="0"/>
            </w:pPr>
            <w:r/>
            <w:r>
              <w:rPr>
                <w:b/>
                <w:i w:val="0"/>
                <w:sz w:val="18"/>
              </w:rPr>
              <w:t>SILVER</w:t>
            </w:r>
          </w:p>
        </w:tc>
        <w:tc>
          <w:tcPr>
            <w:tcW w:type="dxa" w:w="3324"/>
          </w:tcPr>
          <w:p>
            <w:pPr>
              <w:spacing w:after="0"/>
            </w:pPr>
            <w:r/>
            <w:r>
              <w:rPr>
                <w:b w:val="0"/>
                <w:i w:val="0"/>
                <w:sz w:val="18"/>
              </w:rPr>
              <w:t>Historical state tracking — supports point-in-time queries</w:t>
            </w:r>
          </w:p>
        </w:tc>
      </w:tr>
      <w:tr>
        <w:tc>
          <w:tcPr>
            <w:tcW w:type="dxa" w:w="3324"/>
          </w:tcPr>
          <w:p>
            <w:pPr>
              <w:spacing w:after="0"/>
            </w:pPr>
            <w:r/>
            <w:r>
              <w:rPr>
                <w:b w:val="0"/>
                <w:i w:val="0"/>
                <w:sz w:val="18"/>
              </w:rPr>
              <w:t>Audit/lineage metadata columns</w:t>
            </w:r>
          </w:p>
        </w:tc>
        <w:tc>
          <w:tcPr>
            <w:tcW w:type="dxa" w:w="3324"/>
            <w:shd w:fill="E2EFDA" w:val="clear"/>
          </w:tcPr>
          <w:p>
            <w:pPr>
              <w:spacing w:after="0"/>
            </w:pPr>
            <w:r/>
            <w:r>
              <w:rPr>
                <w:b/>
                <w:i w:val="0"/>
                <w:sz w:val="18"/>
              </w:rPr>
              <w:t>SILVER</w:t>
            </w:r>
          </w:p>
        </w:tc>
        <w:tc>
          <w:tcPr>
            <w:tcW w:type="dxa" w:w="3324"/>
          </w:tcPr>
          <w:p>
            <w:pPr>
              <w:spacing w:after="0"/>
            </w:pPr>
            <w:r/>
            <w:r>
              <w:rPr>
                <w:b w:val="0"/>
                <w:i w:val="0"/>
                <w:sz w:val="18"/>
              </w:rPr>
              <w:t>Governance and traceability</w:t>
            </w:r>
          </w:p>
        </w:tc>
      </w:tr>
      <w:tr>
        <w:tc>
          <w:tcPr>
            <w:tcW w:type="dxa" w:w="3324"/>
          </w:tcPr>
          <w:p>
            <w:pPr>
              <w:spacing w:after="0"/>
            </w:pPr>
            <w:r/>
            <w:r>
              <w:rPr>
                <w:b w:val="0"/>
                <w:i w:val="0"/>
                <w:sz w:val="18"/>
              </w:rPr>
              <w:t>IFRS 9 ECL input parameters</w:t>
            </w:r>
          </w:p>
        </w:tc>
        <w:tc>
          <w:tcPr>
            <w:tcW w:type="dxa" w:w="3324"/>
            <w:shd w:fill="E2EFDA" w:val="clear"/>
          </w:tcPr>
          <w:p>
            <w:pPr>
              <w:spacing w:after="0"/>
            </w:pPr>
            <w:r/>
            <w:r>
              <w:rPr>
                <w:b/>
                <w:i w:val="0"/>
                <w:sz w:val="18"/>
              </w:rPr>
              <w:t>SILVER</w:t>
            </w:r>
          </w:p>
        </w:tc>
        <w:tc>
          <w:tcPr>
            <w:tcW w:type="dxa" w:w="3324"/>
          </w:tcPr>
          <w:p>
            <w:pPr>
              <w:spacing w:after="0"/>
            </w:pPr>
            <w:r/>
            <w:r>
              <w:rPr>
                <w:b w:val="0"/>
                <w:i w:val="0"/>
                <w:sz w:val="18"/>
              </w:rPr>
              <w:t>Input data — not computed output</w:t>
            </w:r>
          </w:p>
        </w:tc>
      </w:tr>
      <w:tr>
        <w:tc>
          <w:tcPr>
            <w:tcW w:type="dxa" w:w="3324"/>
          </w:tcPr>
          <w:p>
            <w:pPr>
              <w:spacing w:after="0"/>
            </w:pPr>
            <w:r/>
            <w:r>
              <w:rPr>
                <w:b w:val="0"/>
                <w:i w:val="0"/>
                <w:sz w:val="18"/>
              </w:rPr>
              <w:t>Regulatory staging flags (Stage 1/2/3)</w:t>
            </w:r>
          </w:p>
        </w:tc>
        <w:tc>
          <w:tcPr>
            <w:tcW w:type="dxa" w:w="3324"/>
            <w:shd w:fill="E2EFDA" w:val="clear"/>
          </w:tcPr>
          <w:p>
            <w:pPr>
              <w:spacing w:after="0"/>
            </w:pPr>
            <w:r/>
            <w:r>
              <w:rPr>
                <w:b/>
                <w:i w:val="0"/>
                <w:sz w:val="18"/>
              </w:rPr>
              <w:t>SILVER</w:t>
            </w:r>
          </w:p>
        </w:tc>
        <w:tc>
          <w:tcPr>
            <w:tcW w:type="dxa" w:w="3324"/>
          </w:tcPr>
          <w:p>
            <w:pPr>
              <w:spacing w:after="0"/>
            </w:pPr>
            <w:r/>
            <w:r>
              <w:rPr>
                <w:b w:val="0"/>
                <w:i w:val="0"/>
                <w:sz w:val="18"/>
              </w:rPr>
              <w:t>Classification outcome from source or model — still raw data</w:t>
            </w:r>
          </w:p>
        </w:tc>
      </w:tr>
      <w:tr>
        <w:tc>
          <w:tcPr>
            <w:tcW w:type="dxa" w:w="3324"/>
          </w:tcPr>
          <w:p>
            <w:pPr>
              <w:spacing w:after="0"/>
            </w:pPr>
            <w:r/>
            <w:r>
              <w:rPr>
                <w:b w:val="0"/>
                <w:i w:val="0"/>
                <w:sz w:val="18"/>
              </w:rPr>
              <w:t>Pre-aggregated KPIs, period balances</w:t>
            </w:r>
          </w:p>
        </w:tc>
        <w:tc>
          <w:tcPr>
            <w:tcW w:type="dxa" w:w="3324"/>
            <w:shd w:fill="FFE699" w:val="clear"/>
          </w:tcPr>
          <w:p>
            <w:pPr>
              <w:spacing w:after="0"/>
            </w:pPr>
            <w:r/>
            <w:r>
              <w:rPr>
                <w:b/>
                <w:i w:val="0"/>
                <w:sz w:val="18"/>
              </w:rPr>
              <w:t>GOLD</w:t>
            </w:r>
          </w:p>
        </w:tc>
        <w:tc>
          <w:tcPr>
            <w:tcW w:type="dxa" w:w="3324"/>
          </w:tcPr>
          <w:p>
            <w:pPr>
              <w:spacing w:after="0"/>
            </w:pPr>
            <w:r/>
            <w:r>
              <w:rPr>
                <w:b w:val="0"/>
                <w:i w:val="0"/>
                <w:sz w:val="18"/>
              </w:rPr>
              <w:t>Aggregation = Gold responsibility</w:t>
            </w:r>
          </w:p>
        </w:tc>
      </w:tr>
      <w:tr>
        <w:tc>
          <w:tcPr>
            <w:tcW w:type="dxa" w:w="3324"/>
          </w:tcPr>
          <w:p>
            <w:pPr>
              <w:spacing w:after="0"/>
            </w:pPr>
            <w:r/>
            <w:r>
              <w:rPr>
                <w:b w:val="0"/>
                <w:i w:val="0"/>
                <w:sz w:val="18"/>
              </w:rPr>
              <w:t>Dimensional models (dim_customer, fact_transaction)</w:t>
            </w:r>
          </w:p>
        </w:tc>
        <w:tc>
          <w:tcPr>
            <w:tcW w:type="dxa" w:w="3324"/>
            <w:shd w:fill="FFE699" w:val="clear"/>
          </w:tcPr>
          <w:p>
            <w:pPr>
              <w:spacing w:after="0"/>
            </w:pPr>
            <w:r/>
            <w:r>
              <w:rPr>
                <w:b/>
                <w:i w:val="0"/>
                <w:sz w:val="18"/>
              </w:rPr>
              <w:t>GOLD</w:t>
            </w:r>
          </w:p>
        </w:tc>
        <w:tc>
          <w:tcPr>
            <w:tcW w:type="dxa" w:w="3324"/>
          </w:tcPr>
          <w:p>
            <w:pPr>
              <w:spacing w:after="0"/>
            </w:pPr>
            <w:r/>
            <w:r>
              <w:rPr>
                <w:b w:val="0"/>
                <w:i w:val="0"/>
                <w:sz w:val="18"/>
              </w:rPr>
              <w:t>Kimball methodology = Gold layer</w:t>
            </w:r>
          </w:p>
        </w:tc>
      </w:tr>
      <w:tr>
        <w:tc>
          <w:tcPr>
            <w:tcW w:type="dxa" w:w="3324"/>
          </w:tcPr>
          <w:p>
            <w:pPr>
              <w:spacing w:after="0"/>
            </w:pPr>
            <w:r/>
            <w:r>
              <w:rPr>
                <w:b w:val="0"/>
                <w:i w:val="0"/>
                <w:sz w:val="18"/>
              </w:rPr>
              <w:t>Dashboard and reporting datasets</w:t>
            </w:r>
          </w:p>
        </w:tc>
        <w:tc>
          <w:tcPr>
            <w:tcW w:type="dxa" w:w="3324"/>
            <w:shd w:fill="FFE699" w:val="clear"/>
          </w:tcPr>
          <w:p>
            <w:pPr>
              <w:spacing w:after="0"/>
            </w:pPr>
            <w:r/>
            <w:r>
              <w:rPr>
                <w:b/>
                <w:i w:val="0"/>
                <w:sz w:val="18"/>
              </w:rPr>
              <w:t>GOLD</w:t>
            </w:r>
          </w:p>
        </w:tc>
        <w:tc>
          <w:tcPr>
            <w:tcW w:type="dxa" w:w="3324"/>
          </w:tcPr>
          <w:p>
            <w:pPr>
              <w:spacing w:after="0"/>
            </w:pPr>
            <w:r/>
            <w:r>
              <w:rPr>
                <w:b w:val="0"/>
                <w:i w:val="0"/>
                <w:sz w:val="18"/>
              </w:rPr>
              <w:t>Consumption-ready = Gold</w:t>
            </w:r>
          </w:p>
        </w:tc>
      </w:tr>
      <w:tr>
        <w:tc>
          <w:tcPr>
            <w:tcW w:type="dxa" w:w="3324"/>
          </w:tcPr>
          <w:p>
            <w:pPr>
              <w:spacing w:after="0"/>
            </w:pPr>
            <w:r/>
            <w:r>
              <w:rPr>
                <w:b w:val="0"/>
                <w:i w:val="0"/>
                <w:sz w:val="18"/>
              </w:rPr>
              <w:t>ML model outputs (scores, predictions, forecasts)</w:t>
            </w:r>
          </w:p>
        </w:tc>
        <w:tc>
          <w:tcPr>
            <w:tcW w:type="dxa" w:w="3324"/>
            <w:shd w:fill="FFE699" w:val="clear"/>
          </w:tcPr>
          <w:p>
            <w:pPr>
              <w:spacing w:after="0"/>
            </w:pPr>
            <w:r/>
            <w:r>
              <w:rPr>
                <w:b/>
                <w:i w:val="0"/>
                <w:sz w:val="18"/>
              </w:rPr>
              <w:t>GOLD</w:t>
            </w:r>
          </w:p>
        </w:tc>
        <w:tc>
          <w:tcPr>
            <w:tcW w:type="dxa" w:w="3324"/>
          </w:tcPr>
          <w:p>
            <w:pPr>
              <w:spacing w:after="0"/>
            </w:pPr>
            <w:r/>
            <w:r>
              <w:rPr>
                <w:b w:val="0"/>
                <w:i w:val="0"/>
                <w:sz w:val="18"/>
              </w:rPr>
              <w:t>Derived analytics = Gold</w:t>
            </w:r>
          </w:p>
        </w:tc>
      </w:tr>
      <w:tr>
        <w:tc>
          <w:tcPr>
            <w:tcW w:type="dxa" w:w="3324"/>
          </w:tcPr>
          <w:p>
            <w:pPr>
              <w:spacing w:after="0"/>
            </w:pPr>
            <w:r/>
            <w:r>
              <w:rPr>
                <w:b w:val="0"/>
                <w:i w:val="0"/>
                <w:sz w:val="18"/>
              </w:rPr>
              <w:t>Denormalised views for self-service analytics</w:t>
            </w:r>
          </w:p>
        </w:tc>
        <w:tc>
          <w:tcPr>
            <w:tcW w:type="dxa" w:w="3324"/>
            <w:shd w:fill="FFE699" w:val="clear"/>
          </w:tcPr>
          <w:p>
            <w:pPr>
              <w:spacing w:after="0"/>
            </w:pPr>
            <w:r/>
            <w:r>
              <w:rPr>
                <w:b/>
                <w:i w:val="0"/>
                <w:sz w:val="18"/>
              </w:rPr>
              <w:t>GOLD</w:t>
            </w:r>
          </w:p>
        </w:tc>
        <w:tc>
          <w:tcPr>
            <w:tcW w:type="dxa" w:w="3324"/>
          </w:tcPr>
          <w:p>
            <w:pPr>
              <w:spacing w:after="0"/>
            </w:pPr>
            <w:r/>
            <w:r>
              <w:rPr>
                <w:b w:val="0"/>
                <w:i w:val="0"/>
                <w:sz w:val="18"/>
              </w:rPr>
              <w:t>Denormalisation = Gold concern</w:t>
            </w:r>
          </w:p>
        </w:tc>
      </w:tr>
      <w:tr>
        <w:tc>
          <w:tcPr>
            <w:tcW w:type="dxa" w:w="3324"/>
          </w:tcPr>
          <w:p>
            <w:pPr>
              <w:spacing w:after="0"/>
            </w:pPr>
            <w:r/>
            <w:r>
              <w:rPr>
                <w:b w:val="0"/>
                <w:i w:val="0"/>
                <w:sz w:val="18"/>
              </w:rPr>
              <w:t>Real-time alert configurations and thresholds</w:t>
            </w:r>
          </w:p>
        </w:tc>
        <w:tc>
          <w:tcPr>
            <w:tcW w:type="dxa" w:w="3324"/>
            <w:shd w:fill="FCE4D6" w:val="clear"/>
          </w:tcPr>
          <w:p>
            <w:pPr>
              <w:spacing w:after="0"/>
            </w:pPr>
            <w:r/>
            <w:r>
              <w:rPr>
                <w:b/>
                <w:i w:val="0"/>
                <w:sz w:val="18"/>
              </w:rPr>
              <w:t>GOLD / OPERATIONAL</w:t>
            </w:r>
          </w:p>
        </w:tc>
        <w:tc>
          <w:tcPr>
            <w:tcW w:type="dxa" w:w="3324"/>
          </w:tcPr>
          <w:p>
            <w:pPr>
              <w:spacing w:after="0"/>
            </w:pPr>
            <w:r/>
            <w:r>
              <w:rPr>
                <w:b w:val="0"/>
                <w:i w:val="0"/>
                <w:sz w:val="18"/>
              </w:rPr>
              <w:t>Operational application config, not data model</w:t>
            </w:r>
          </w:p>
        </w:tc>
      </w:tr>
    </w:tbl>
    <w:p/>
    <w:p>
      <w:pPr>
        <w:pStyle w:val="Heading2"/>
      </w:pPr>
      <w:r>
        <w:t>2.3 Normalisation Standards for Silver Layer</w:t>
      </w:r>
    </w:p>
    <w:p>
      <w:r>
        <w:t>The silver analytical layer should apply 3rd Normal Form (3NF) for master data entities. Limited denormalisation is acceptable on transactional entities to avoid excessive joins at query time, but must be intentional and documented. The following patterns are violations:</w:t>
        <w:br/>
        <w:br/>
        <w:t>• Embedding RM/staff details directly in customer entities instead of FK to Staff entity</w:t>
        <w:br/>
        <w:t>• Repeating group attributes (amount_in_arrears_1, ..._2, ..._8) instead of a child table</w:t>
        <w:br/>
        <w:t>• Duplicating the same reference table (Country, Currency, Branch) across subject areas</w:t>
        <w:br/>
        <w:t>• Storing computed/derived values (total outstanding, sum of charges) that could be calculated</w:t>
        <w:br/>
        <w:t>• Multi-value attributes in a single column (comma-separated codes, JSON blobs)</w:t>
        <w:br/>
        <w:t>• Embedding address fields in the customer entity instead of a separate Address entity</w:t>
      </w:r>
    </w:p>
    <w:p>
      <w:r>
        <w:br w:type="page"/>
      </w:r>
    </w:p>
    <w:p>
      <w:pPr>
        <w:pStyle w:val="Heading1"/>
      </w:pPr>
      <w:r>
        <w:t>3. Entity-Level Review Findings</w:t>
      </w:r>
    </w:p>
    <w:p>
      <w:pPr>
        <w:pStyle w:val="Heading2"/>
      </w:pPr>
      <w:r>
        <w:t>3.1 Customer Subject Area (31 entities, 584 attributes)</w:t>
      </w:r>
    </w:p>
    <w:p>
      <w:r>
        <w:t>The Customer subject area is the strongest in the model. It provides comprehensive 360-degree coverage including demographics, relationships, AML/KYC profile, documents, financial information, and psychographics. However, several normalisation violations and missing patterns weaken the overall quality.</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CUS-01</w:t>
            </w:r>
          </w:p>
        </w:tc>
        <w:tc>
          <w:tcPr>
            <w:tcW w:type="dxa" w:w="2493"/>
          </w:tcPr>
          <w:p>
            <w:pPr>
              <w:spacing w:after="0"/>
            </w:pPr>
            <w:r/>
            <w:r>
              <w:rPr>
                <w:b w:val="0"/>
                <w:i w:val="0"/>
                <w:sz w:val="16"/>
              </w:rPr>
              <w:t>Customer entity has 145 attributes — 12 RM attributes (Primary/Secondary/Tertiary RM name, mobile, email, Unit Head) are embedded directly, creating update anomalies. When a RM changes, every customer record must be updated.</w:t>
            </w:r>
          </w:p>
        </w:tc>
        <w:tc>
          <w:tcPr>
            <w:tcW w:type="dxa" w:w="2493"/>
            <w:shd w:fill="FF6600" w:val="clear"/>
          </w:tcPr>
          <w:p>
            <w:pPr>
              <w:spacing w:after="0"/>
            </w:pPr>
            <w:r/>
            <w:r>
              <w:rPr>
                <w:b/>
                <w:i w:val="0"/>
                <w:sz w:val="16"/>
              </w:rPr>
              <w:t>HIGH</w:t>
            </w:r>
          </w:p>
        </w:tc>
        <w:tc>
          <w:tcPr>
            <w:tcW w:type="dxa" w:w="2493"/>
          </w:tcPr>
          <w:p>
            <w:pPr>
              <w:spacing w:after="0"/>
            </w:pPr>
            <w:r/>
            <w:r>
              <w:rPr>
                <w:b w:val="0"/>
                <w:i w:val="0"/>
                <w:sz w:val="16"/>
              </w:rPr>
              <w:t>Normalise: create a Relationship_Manager entity; reference via FK (primary_rm_id, secondary_rm_id)</w:t>
            </w:r>
          </w:p>
        </w:tc>
      </w:tr>
      <w:tr>
        <w:tc>
          <w:tcPr>
            <w:tcW w:type="dxa" w:w="2493"/>
          </w:tcPr>
          <w:p>
            <w:pPr>
              <w:spacing w:after="0"/>
            </w:pPr>
            <w:r/>
            <w:r>
              <w:rPr>
                <w:b/>
                <w:i w:val="0"/>
                <w:sz w:val="16"/>
              </w:rPr>
              <w:t>CUS-02</w:t>
            </w:r>
          </w:p>
        </w:tc>
        <w:tc>
          <w:tcPr>
            <w:tcW w:type="dxa" w:w="2493"/>
          </w:tcPr>
          <w:p>
            <w:pPr>
              <w:spacing w:after="0"/>
            </w:pPr>
            <w:r/>
            <w:r>
              <w:rPr>
                <w:b w:val="0"/>
                <w:i w:val="0"/>
                <w:sz w:val="16"/>
              </w:rPr>
              <w:t>All 584 attributes are typed STRING — CIF Creation Date, Birth date, Gross Monthly Income, Customer end date are semantically incompatible with STRING type.</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Apply semantic types: DATE for dates, DECIMAL(19,4) for monetary amounts, BOOLEAN for flag fields</w:t>
            </w:r>
          </w:p>
        </w:tc>
      </w:tr>
      <w:tr>
        <w:tc>
          <w:tcPr>
            <w:tcW w:type="dxa" w:w="2493"/>
          </w:tcPr>
          <w:p>
            <w:pPr>
              <w:spacing w:after="0"/>
            </w:pPr>
            <w:r/>
            <w:r>
              <w:rPr>
                <w:b/>
                <w:i w:val="0"/>
                <w:sz w:val="16"/>
              </w:rPr>
              <w:t>CUS-03</w:t>
            </w:r>
          </w:p>
        </w:tc>
        <w:tc>
          <w:tcPr>
            <w:tcW w:type="dxa" w:w="2493"/>
          </w:tcPr>
          <w:p>
            <w:pPr>
              <w:spacing w:after="0"/>
            </w:pPr>
            <w:r/>
            <w:r>
              <w:rPr>
                <w:b w:val="0"/>
                <w:i w:val="0"/>
                <w:sz w:val="16"/>
              </w:rPr>
              <w:t>Customer_Psychographics is misnamed — it contains AML/KYC profile data (PEP flag, DNFBP, Sanction Declaration, expected transaction volumes). Psychographics = lifestyle/attitude data.</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Rename to Customer_AML_KYC_Profile to accurately reflect content</w:t>
            </w:r>
          </w:p>
        </w:tc>
      </w:tr>
      <w:tr>
        <w:tc>
          <w:tcPr>
            <w:tcW w:type="dxa" w:w="2493"/>
          </w:tcPr>
          <w:p>
            <w:pPr>
              <w:spacing w:after="0"/>
            </w:pPr>
            <w:r/>
            <w:r>
              <w:rPr>
                <w:b/>
                <w:i w:val="0"/>
                <w:sz w:val="16"/>
              </w:rPr>
              <w:t>CUS-04</w:t>
            </w:r>
          </w:p>
        </w:tc>
        <w:tc>
          <w:tcPr>
            <w:tcW w:type="dxa" w:w="2493"/>
          </w:tcPr>
          <w:p>
            <w:pPr>
              <w:spacing w:after="0"/>
            </w:pPr>
            <w:r/>
            <w:r>
              <w:rPr>
                <w:b w:val="0"/>
                <w:i w:val="0"/>
                <w:sz w:val="16"/>
              </w:rPr>
              <w:t>No surrogate key defined. Model relies on CIF number (source-system natural key) as the sole identifier.</w:t>
            </w:r>
          </w:p>
        </w:tc>
        <w:tc>
          <w:tcPr>
            <w:tcW w:type="dxa" w:w="2493"/>
            <w:shd w:fill="FF6600" w:val="clear"/>
          </w:tcPr>
          <w:p>
            <w:pPr>
              <w:spacing w:after="0"/>
            </w:pPr>
            <w:r/>
            <w:r>
              <w:rPr>
                <w:b/>
                <w:i w:val="0"/>
                <w:sz w:val="16"/>
              </w:rPr>
              <w:t>HIGH</w:t>
            </w:r>
          </w:p>
        </w:tc>
        <w:tc>
          <w:tcPr>
            <w:tcW w:type="dxa" w:w="2493"/>
          </w:tcPr>
          <w:p>
            <w:pPr>
              <w:spacing w:after="0"/>
            </w:pPr>
            <w:r/>
            <w:r>
              <w:rPr>
                <w:b w:val="0"/>
                <w:i w:val="0"/>
                <w:sz w:val="16"/>
              </w:rPr>
              <w:t>Define a system-generated customer_sk (surrogate key) independent of any source system</w:t>
            </w:r>
          </w:p>
        </w:tc>
      </w:tr>
      <w:tr>
        <w:tc>
          <w:tcPr>
            <w:tcW w:type="dxa" w:w="2493"/>
          </w:tcPr>
          <w:p>
            <w:pPr>
              <w:spacing w:after="0"/>
            </w:pPr>
            <w:r/>
            <w:r>
              <w:rPr>
                <w:b/>
                <w:i w:val="0"/>
                <w:sz w:val="16"/>
              </w:rPr>
              <w:t>CUS-05</w:t>
            </w:r>
          </w:p>
        </w:tc>
        <w:tc>
          <w:tcPr>
            <w:tcW w:type="dxa" w:w="2493"/>
          </w:tcPr>
          <w:p>
            <w:pPr>
              <w:spacing w:after="0"/>
            </w:pPr>
            <w:r/>
            <w:r>
              <w:rPr>
                <w:b w:val="0"/>
                <w:i w:val="0"/>
                <w:sz w:val="16"/>
              </w:rPr>
              <w:t>No record_hash attribute. Incremental SCD processing and change detection require a hash of key business attributes.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record_hash (SHA-256 of key business attributes) to all conformed entities</w:t>
            </w:r>
          </w:p>
        </w:tc>
      </w:tr>
      <w:tr>
        <w:tc>
          <w:tcPr>
            <w:tcW w:type="dxa" w:w="2493"/>
          </w:tcPr>
          <w:p>
            <w:pPr>
              <w:spacing w:after="0"/>
            </w:pPr>
            <w:r/>
            <w:r>
              <w:rPr>
                <w:b/>
                <w:i w:val="0"/>
                <w:sz w:val="16"/>
              </w:rPr>
              <w:t>CUS-06</w:t>
            </w:r>
          </w:p>
        </w:tc>
        <w:tc>
          <w:tcPr>
            <w:tcW w:type="dxa" w:w="2493"/>
          </w:tcPr>
          <w:p>
            <w:pPr>
              <w:spacing w:after="0"/>
            </w:pPr>
            <w:r/>
            <w:r>
              <w:rPr>
                <w:b w:val="0"/>
                <w:i w:val="0"/>
                <w:sz w:val="16"/>
              </w:rPr>
              <w:t>Reference_Occupation_PermanentResident has only 2 attributes — entity is not ready for use.</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Complete the entity or merge with Reference_Occupation</w:t>
            </w:r>
          </w:p>
        </w:tc>
      </w:tr>
      <w:tr>
        <w:tc>
          <w:tcPr>
            <w:tcW w:type="dxa" w:w="2493"/>
          </w:tcPr>
          <w:p>
            <w:pPr>
              <w:spacing w:after="0"/>
            </w:pPr>
            <w:r/>
            <w:r>
              <w:rPr>
                <w:b/>
                <w:i w:val="0"/>
                <w:sz w:val="16"/>
              </w:rPr>
              <w:t>CUS-07</w:t>
            </w:r>
          </w:p>
        </w:tc>
        <w:tc>
          <w:tcPr>
            <w:tcW w:type="dxa" w:w="2493"/>
          </w:tcPr>
          <w:p>
            <w:pPr>
              <w:spacing w:after="0"/>
            </w:pPr>
            <w:r/>
            <w:r>
              <w:rPr>
                <w:b w:val="0"/>
                <w:i w:val="0"/>
                <w:sz w:val="16"/>
              </w:rPr>
              <w:t>No normalised Customer_Address entity. Address details are embedded in Customer_ContactInformation rather than in a separate entity supporting multiple address types and history.</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Separate Customer_Address entity with address_type_code, effective dates, country FK</w:t>
            </w:r>
          </w:p>
        </w:tc>
      </w:tr>
      <w:tr>
        <w:tc>
          <w:tcPr>
            <w:tcW w:type="dxa" w:w="2493"/>
          </w:tcPr>
          <w:p>
            <w:pPr>
              <w:spacing w:after="0"/>
            </w:pPr>
            <w:r/>
            <w:r>
              <w:rPr>
                <w:b/>
                <w:i w:val="0"/>
                <w:sz w:val="16"/>
              </w:rPr>
              <w:t>CUS-08</w:t>
            </w:r>
          </w:p>
        </w:tc>
        <w:tc>
          <w:tcPr>
            <w:tcW w:type="dxa" w:w="2493"/>
          </w:tcPr>
          <w:p>
            <w:pPr>
              <w:spacing w:after="0"/>
            </w:pPr>
            <w:r/>
            <w:r>
              <w:rPr>
                <w:b w:val="0"/>
                <w:i w:val="0"/>
                <w:sz w:val="16"/>
              </w:rPr>
              <w:t>Missing Consent Management entity (GDPR/UAE PDPL). Customer consent records (consent type, date, withdrawal, purpose, channel) are absent.</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Customer_Consent entity to satisfy UAE PDPL and GDPR requirements</w:t>
            </w:r>
          </w:p>
        </w:tc>
      </w:tr>
      <w:tr>
        <w:tc>
          <w:tcPr>
            <w:tcW w:type="dxa" w:w="2493"/>
          </w:tcPr>
          <w:p>
            <w:pPr>
              <w:spacing w:after="0"/>
            </w:pPr>
            <w:r/>
            <w:r>
              <w:rPr>
                <w:b/>
                <w:i w:val="0"/>
                <w:sz w:val="16"/>
              </w:rPr>
              <w:t>CUS-09</w:t>
            </w:r>
          </w:p>
        </w:tc>
        <w:tc>
          <w:tcPr>
            <w:tcW w:type="dxa" w:w="2493"/>
          </w:tcPr>
          <w:p>
            <w:pPr>
              <w:spacing w:after="0"/>
            </w:pPr>
            <w:r/>
            <w:r>
              <w:rPr>
                <w:b w:val="0"/>
                <w:i w:val="0"/>
                <w:sz w:val="16"/>
              </w:rPr>
              <w:t>SCD Type 2 columns (Business Start Date, Business End Date, Is Active Flag) are typed CHAR(18) — semantically wrong. Dates as CHAR(18) cannot be queried as dates.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Change Business Start/End Date to DATE, Is Active Flag to BOOLEAN</w:t>
            </w:r>
          </w:p>
        </w:tc>
      </w:tr>
      <w:tr>
        <w:tc>
          <w:tcPr>
            <w:tcW w:type="dxa" w:w="2493"/>
          </w:tcPr>
          <w:p>
            <w:pPr>
              <w:spacing w:after="0"/>
            </w:pPr>
            <w:r/>
            <w:r>
              <w:rPr>
                <w:b/>
                <w:i w:val="0"/>
                <w:sz w:val="16"/>
              </w:rPr>
              <w:t>CUS-10</w:t>
            </w:r>
          </w:p>
        </w:tc>
        <w:tc>
          <w:tcPr>
            <w:tcW w:type="dxa" w:w="2493"/>
          </w:tcPr>
          <w:p>
            <w:pPr>
              <w:spacing w:after="0"/>
            </w:pPr>
            <w:r/>
            <w:r>
              <w:rPr>
                <w:b w:val="0"/>
                <w:i w:val="0"/>
                <w:sz w:val="16"/>
              </w:rPr>
              <w:t>Customer_Groupings is not linked to Account_Group entities — cross-SA FK undefined.</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Document explicit FK relationship: Customer_Groupings → Account_Group.group_id</w:t>
            </w:r>
          </w:p>
        </w:tc>
      </w:tr>
    </w:tbl>
    <w:p/>
    <w:p>
      <w:pPr>
        <w:pStyle w:val="Heading2"/>
      </w:pPr>
      <w:r>
        <w:t>3.2 Account Subject Area (30 entities, 342 attributes)</w:t>
      </w:r>
    </w:p>
    <w:p>
      <w:r>
        <w:t>Well-structured with account group hierarchy and exposure linkages. However, data type errors are severe and have propagated into the physical model, creating production-level correctness issues.</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ACC-01</w:t>
            </w:r>
          </w:p>
        </w:tc>
        <w:tc>
          <w:tcPr>
            <w:tcW w:type="dxa" w:w="2493"/>
          </w:tcPr>
          <w:p>
            <w:pPr>
              <w:spacing w:after="0"/>
            </w:pPr>
            <w:r/>
            <w:r>
              <w:rPr>
                <w:b w:val="0"/>
                <w:i w:val="0"/>
                <w:sz w:val="16"/>
              </w:rPr>
              <w:t>Financial fields (balance, credit_limit, debit_balance_limit_amount, interest_rate) are typed STRING in logical model and BIGINT/STRING in physical model. A "balance" as BIGINT loses decimal precision.</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Apply DECIMAL(19,4) for monetary amounts, DECIMAL(8,6) for rates in logical model. Physical model must inherit these types.</w:t>
            </w:r>
          </w:p>
        </w:tc>
      </w:tr>
      <w:tr>
        <w:tc>
          <w:tcPr>
            <w:tcW w:type="dxa" w:w="2493"/>
          </w:tcPr>
          <w:p>
            <w:pPr>
              <w:spacing w:after="0"/>
            </w:pPr>
            <w:r/>
            <w:r>
              <w:rPr>
                <w:b/>
                <w:i w:val="0"/>
                <w:sz w:val="16"/>
              </w:rPr>
              <w:t>ACC-02</w:t>
            </w:r>
          </w:p>
        </w:tc>
        <w:tc>
          <w:tcPr>
            <w:tcW w:type="dxa" w:w="2493"/>
          </w:tcPr>
          <w:p>
            <w:pPr>
              <w:spacing w:after="0"/>
            </w:pPr>
            <w:r/>
            <w:r>
              <w:rPr>
                <w:b w:val="0"/>
                <w:i w:val="0"/>
                <w:sz w:val="16"/>
              </w:rPr>
              <w:t>account_status field is typed TIMESTAMP in the physical model — a clear modelling error. Status is a categorical code, not a timestamp.</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Change account_status to VARCHAR(20) or a Code type with FK to Reference_Account_Status</w:t>
            </w:r>
          </w:p>
        </w:tc>
      </w:tr>
      <w:tr>
        <w:tc>
          <w:tcPr>
            <w:tcW w:type="dxa" w:w="2493"/>
          </w:tcPr>
          <w:p>
            <w:pPr>
              <w:spacing w:after="0"/>
            </w:pPr>
            <w:r/>
            <w:r>
              <w:rPr>
                <w:b/>
                <w:i w:val="0"/>
                <w:sz w:val="16"/>
              </w:rPr>
              <w:t>ACC-03</w:t>
            </w:r>
          </w:p>
        </w:tc>
        <w:tc>
          <w:tcPr>
            <w:tcW w:type="dxa" w:w="2493"/>
          </w:tcPr>
          <w:p>
            <w:pPr>
              <w:spacing w:after="0"/>
            </w:pPr>
            <w:r/>
            <w:r>
              <w:rPr>
                <w:b w:val="0"/>
                <w:i w:val="0"/>
                <w:sz w:val="16"/>
              </w:rPr>
              <w:t>KYC_status is typed TIMESTAMP in physical model — same error as ACC-02.</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Change KYC_status to VARCHAR(20) with FK to a Reference_KYC_Status entity</w:t>
            </w:r>
          </w:p>
        </w:tc>
      </w:tr>
      <w:tr>
        <w:tc>
          <w:tcPr>
            <w:tcW w:type="dxa" w:w="2493"/>
          </w:tcPr>
          <w:p>
            <w:pPr>
              <w:spacing w:after="0"/>
            </w:pPr>
            <w:r/>
            <w:r>
              <w:rPr>
                <w:b/>
                <w:i w:val="0"/>
                <w:sz w:val="16"/>
              </w:rPr>
              <w:t>ACC-04</w:t>
            </w:r>
          </w:p>
        </w:tc>
        <w:tc>
          <w:tcPr>
            <w:tcW w:type="dxa" w:w="2493"/>
          </w:tcPr>
          <w:p>
            <w:pPr>
              <w:spacing w:after="0"/>
            </w:pPr>
            <w:r/>
            <w:r>
              <w:rPr>
                <w:b w:val="0"/>
                <w:i w:val="0"/>
                <w:sz w:val="16"/>
              </w:rPr>
              <w:t>Account_Balance_Summary_DD — "DD" suffix is unexplained. If this means Daily Snapshot, it is a potential Gold-layer artefact (pre-aggregated daily balance summary).</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Clarify: if it is a snapshot of current balance, it belongs in Silver. If it is an aggregated daily balance report, move to Gold.</w:t>
            </w:r>
          </w:p>
        </w:tc>
      </w:tr>
      <w:tr>
        <w:tc>
          <w:tcPr>
            <w:tcW w:type="dxa" w:w="2493"/>
          </w:tcPr>
          <w:p>
            <w:pPr>
              <w:spacing w:after="0"/>
            </w:pPr>
            <w:r/>
            <w:r>
              <w:rPr>
                <w:b/>
                <w:i w:val="0"/>
                <w:sz w:val="16"/>
              </w:rPr>
              <w:t>ACC-05</w:t>
            </w:r>
          </w:p>
        </w:tc>
        <w:tc>
          <w:tcPr>
            <w:tcW w:type="dxa" w:w="2493"/>
          </w:tcPr>
          <w:p>
            <w:pPr>
              <w:spacing w:after="0"/>
            </w:pPr>
            <w:r/>
            <w:r>
              <w:rPr>
                <w:b w:val="0"/>
                <w:i w:val="0"/>
                <w:sz w:val="16"/>
              </w:rPr>
              <w:t>Missing Account_Interest_Rate_History entity. Rate changes over time for variable-rate accounts are not modelled.</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Account_Interest_Rate_History entity with SCD Type 2 pattern</w:t>
            </w:r>
          </w:p>
        </w:tc>
      </w:tr>
      <w:tr>
        <w:tc>
          <w:tcPr>
            <w:tcW w:type="dxa" w:w="2493"/>
          </w:tcPr>
          <w:p>
            <w:pPr>
              <w:spacing w:after="0"/>
            </w:pPr>
            <w:r/>
            <w:r>
              <w:rPr>
                <w:b/>
                <w:i w:val="0"/>
                <w:sz w:val="16"/>
              </w:rPr>
              <w:t>ACC-06</w:t>
            </w:r>
          </w:p>
        </w:tc>
        <w:tc>
          <w:tcPr>
            <w:tcW w:type="dxa" w:w="2493"/>
          </w:tcPr>
          <w:p>
            <w:pPr>
              <w:spacing w:after="0"/>
            </w:pPr>
            <w:r/>
            <w:r>
              <w:rPr>
                <w:b w:val="0"/>
                <w:i w:val="0"/>
                <w:sz w:val="16"/>
              </w:rPr>
              <w:t>Missing Account_Fee entity. Fee events at account level absent — critical for revenue analytics and IFRS 9 effective interest rate calculation.</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Account_Fee entity with fee_type_code, fee_amount, fee_date, waiver_indicator</w:t>
            </w:r>
          </w:p>
        </w:tc>
      </w:tr>
      <w:tr>
        <w:tc>
          <w:tcPr>
            <w:tcW w:type="dxa" w:w="2493"/>
          </w:tcPr>
          <w:p>
            <w:pPr>
              <w:spacing w:after="0"/>
            </w:pPr>
            <w:r/>
            <w:r>
              <w:rPr>
                <w:b/>
                <w:i w:val="0"/>
                <w:sz w:val="16"/>
              </w:rPr>
              <w:t>ACC-07</w:t>
            </w:r>
          </w:p>
        </w:tc>
        <w:tc>
          <w:tcPr>
            <w:tcW w:type="dxa" w:w="2493"/>
          </w:tcPr>
          <w:p>
            <w:pPr>
              <w:spacing w:after="0"/>
            </w:pPr>
            <w:r/>
            <w:r>
              <w:rPr>
                <w:b w:val="0"/>
                <w:i w:val="0"/>
                <w:sz w:val="16"/>
              </w:rPr>
              <w:t>Account_Access_Device and Account_Access_Device_Feature are missing all standard metadata columns (source_system, create_date, update_date, delete_date).</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Add standard metadata columns to all entities including device-related entities</w:t>
            </w:r>
          </w:p>
        </w:tc>
      </w:tr>
      <w:tr>
        <w:tc>
          <w:tcPr>
            <w:tcW w:type="dxa" w:w="2493"/>
          </w:tcPr>
          <w:p>
            <w:pPr>
              <w:spacing w:after="0"/>
            </w:pPr>
            <w:r/>
            <w:r>
              <w:rPr>
                <w:b/>
                <w:i w:val="0"/>
                <w:sz w:val="16"/>
              </w:rPr>
              <w:t>ACC-08</w:t>
            </w:r>
          </w:p>
        </w:tc>
        <w:tc>
          <w:tcPr>
            <w:tcW w:type="dxa" w:w="2493"/>
          </w:tcPr>
          <w:p>
            <w:pPr>
              <w:spacing w:after="0"/>
            </w:pPr>
            <w:r/>
            <w:r>
              <w:rPr>
                <w:b w:val="0"/>
                <w:i w:val="0"/>
                <w:sz w:val="16"/>
              </w:rPr>
              <w:t>Agreement entity (22 attrs) and Account_Agreement_Master (35 attrs) overlap in scope. Boundary between the two entities is undefined.</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Define clear business distinction. Consider consolidating or documenting which attributes belong to Agreement vs Account_Agreement_Master</w:t>
            </w:r>
          </w:p>
        </w:tc>
      </w:tr>
    </w:tbl>
    <w:p/>
    <w:p>
      <w:pPr>
        <w:pStyle w:val="Heading2"/>
      </w:pPr>
      <w:r>
        <w:t>3.3 Loan Subject Area (36 entities, 597 attributes)</w:t>
      </w:r>
    </w:p>
    <w:p>
      <w:r>
        <w:t>Coverage of the loan lifecycle including instalment schedule and collection tracking is good. However, the Loan_Agreement entity is critically thin, IFRS 9 ECL parameters are entirely missing, and loan modification/restructuring is absent from the model.</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LOAN-01</w:t>
            </w:r>
          </w:p>
        </w:tc>
        <w:tc>
          <w:tcPr>
            <w:tcW w:type="dxa" w:w="2493"/>
          </w:tcPr>
          <w:p>
            <w:pPr>
              <w:spacing w:after="0"/>
            </w:pPr>
            <w:r/>
            <w:r>
              <w:rPr>
                <w:b w:val="0"/>
                <w:i w:val="0"/>
                <w:sz w:val="16"/>
              </w:rPr>
              <w:t>Loan_Agreement has only 16 attributes — missing interest rate type, base rate index (EIBOR), spread, fee schedule, covenant details, drawdown mechanism, repayment type, prepayment penalty terms.</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Expand Loan_Agreement to 40+ attributes covering all material terms of a loan contract</w:t>
            </w:r>
          </w:p>
        </w:tc>
      </w:tr>
      <w:tr>
        <w:tc>
          <w:tcPr>
            <w:tcW w:type="dxa" w:w="2493"/>
          </w:tcPr>
          <w:p>
            <w:pPr>
              <w:spacing w:after="0"/>
            </w:pPr>
            <w:r/>
            <w:r>
              <w:rPr>
                <w:b/>
                <w:i w:val="0"/>
                <w:sz w:val="16"/>
              </w:rPr>
              <w:t>LOAN-02</w:t>
            </w:r>
          </w:p>
        </w:tc>
        <w:tc>
          <w:tcPr>
            <w:tcW w:type="dxa" w:w="2493"/>
          </w:tcPr>
          <w:p>
            <w:pPr>
              <w:spacing w:after="0"/>
            </w:pPr>
            <w:r/>
            <w:r>
              <w:rPr>
                <w:b w:val="0"/>
                <w:i w:val="0"/>
                <w:sz w:val="16"/>
              </w:rPr>
              <w:t>Missing IFRS 9 ECL Parameters entity (PD, LGD, EAD at loan level). Customer-level risk scores exist but IFRS 9 staging (Stage 1/2/3) requires loan-level ECL parameters.</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Add Loan_ECL_Parameters entity with: pd_value, lgd_value, ead_value, ifrs9_stage, stage_change_date, model_id, run_date</w:t>
            </w:r>
          </w:p>
        </w:tc>
      </w:tr>
      <w:tr>
        <w:tc>
          <w:tcPr>
            <w:tcW w:type="dxa" w:w="2493"/>
          </w:tcPr>
          <w:p>
            <w:pPr>
              <w:spacing w:after="0"/>
            </w:pPr>
            <w:r/>
            <w:r>
              <w:rPr>
                <w:b/>
                <w:i w:val="0"/>
                <w:sz w:val="16"/>
              </w:rPr>
              <w:t>LOAN-03</w:t>
            </w:r>
          </w:p>
        </w:tc>
        <w:tc>
          <w:tcPr>
            <w:tcW w:type="dxa" w:w="2493"/>
          </w:tcPr>
          <w:p>
            <w:pPr>
              <w:spacing w:after="0"/>
            </w:pPr>
            <w:r/>
            <w:r>
              <w:rPr>
                <w:b w:val="0"/>
                <w:i w:val="0"/>
                <w:sz w:val="16"/>
              </w:rPr>
              <w:t>Missing Loan_Modification_History entity. Forbearance, restructuring, and maturity extensions are regulatory-reportable events required for IFRS 9 modified credit risk assessment.</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Loan_Modification_History with: modification_type, modification_date, pre/post modification terms, regulatory_flag</w:t>
            </w:r>
          </w:p>
        </w:tc>
      </w:tr>
      <w:tr>
        <w:tc>
          <w:tcPr>
            <w:tcW w:type="dxa" w:w="2493"/>
          </w:tcPr>
          <w:p>
            <w:pPr>
              <w:spacing w:after="0"/>
            </w:pPr>
            <w:r/>
            <w:r>
              <w:rPr>
                <w:b/>
                <w:i w:val="0"/>
                <w:sz w:val="16"/>
              </w:rPr>
              <w:t>LOAN-04</w:t>
            </w:r>
          </w:p>
        </w:tc>
        <w:tc>
          <w:tcPr>
            <w:tcW w:type="dxa" w:w="2493"/>
          </w:tcPr>
          <w:p>
            <w:pPr>
              <w:spacing w:after="0"/>
            </w:pPr>
            <w:r/>
            <w:r>
              <w:rPr>
                <w:b w:val="0"/>
                <w:i w:val="0"/>
                <w:sz w:val="16"/>
              </w:rPr>
              <w:t>Missing Loan_Write_Off entity. Write-offs and subsequent recoveries must be separately trackable from provisions.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Loan_Write_Off entity with: write_off_date, write_off_amount, recovery_amount, recovery_date</w:t>
            </w:r>
          </w:p>
        </w:tc>
      </w:tr>
      <w:tr>
        <w:tc>
          <w:tcPr>
            <w:tcW w:type="dxa" w:w="2493"/>
          </w:tcPr>
          <w:p>
            <w:pPr>
              <w:spacing w:after="0"/>
            </w:pPr>
            <w:r/>
            <w:r>
              <w:rPr>
                <w:b/>
                <w:i w:val="0"/>
                <w:sz w:val="16"/>
              </w:rPr>
              <w:t>LOAN-05</w:t>
            </w:r>
          </w:p>
        </w:tc>
        <w:tc>
          <w:tcPr>
            <w:tcW w:type="dxa" w:w="2493"/>
          </w:tcPr>
          <w:p>
            <w:pPr>
              <w:spacing w:after="0"/>
            </w:pPr>
            <w:r/>
            <w:r>
              <w:rPr>
                <w:b w:val="0"/>
                <w:i w:val="0"/>
                <w:sz w:val="16"/>
              </w:rPr>
              <w:t>Product-specific reference entities (Reference_Tuition_Status, Reference_Car_Status, Reference_Faculty, Reference_Course_Type) are in Loan SA — bottom-up design from Finacle tables, not a top-down conceptual model.</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Move product-specific features to a Loan_Product_Feature entity. Use a product-agnostic loan hierarchy.</w:t>
            </w:r>
          </w:p>
        </w:tc>
      </w:tr>
      <w:tr>
        <w:tc>
          <w:tcPr>
            <w:tcW w:type="dxa" w:w="2493"/>
          </w:tcPr>
          <w:p>
            <w:pPr>
              <w:spacing w:after="0"/>
            </w:pPr>
            <w:r/>
            <w:r>
              <w:rPr>
                <w:b/>
                <w:i w:val="0"/>
                <w:sz w:val="16"/>
              </w:rPr>
              <w:t>LOAN-06</w:t>
            </w:r>
          </w:p>
        </w:tc>
        <w:tc>
          <w:tcPr>
            <w:tcW w:type="dxa" w:w="2493"/>
          </w:tcPr>
          <w:p>
            <w:pPr>
              <w:spacing w:after="0"/>
            </w:pPr>
            <w:r/>
            <w:r>
              <w:rPr>
                <w:b w:val="0"/>
                <w:i w:val="0"/>
                <w:sz w:val="16"/>
              </w:rPr>
              <w:t>Missing Loan_Covenant entity for financial and information covenant tracking — required for credit monitoring and early warning systems.</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Add Loan_Covenant entity with covenant type, threshold, breach flag, breach date</w:t>
            </w:r>
          </w:p>
        </w:tc>
      </w:tr>
      <w:tr>
        <w:tc>
          <w:tcPr>
            <w:tcW w:type="dxa" w:w="2493"/>
          </w:tcPr>
          <w:p>
            <w:pPr>
              <w:spacing w:after="0"/>
            </w:pPr>
            <w:r/>
            <w:r>
              <w:rPr>
                <w:b/>
                <w:i w:val="0"/>
                <w:sz w:val="16"/>
              </w:rPr>
              <w:t>LOAN-07</w:t>
            </w:r>
          </w:p>
        </w:tc>
        <w:tc>
          <w:tcPr>
            <w:tcW w:type="dxa" w:w="2493"/>
          </w:tcPr>
          <w:p>
            <w:pPr>
              <w:spacing w:after="0"/>
            </w:pPr>
            <w:r/>
            <w:r>
              <w:rPr>
                <w:b w:val="0"/>
                <w:i w:val="0"/>
                <w:sz w:val="16"/>
              </w:rPr>
              <w:t>Provision_for_Loan_Loss_Account and Allowance_for_Loan_Loss_Account coexist without documented IFRS 9 alignment. Under IFRS 9, ECL-based allowances replace IAS 39 incurred-loss provisions.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Align to IFRS 9 terminology: separate Stage 1 (12-month ECL), Stage 2 (lifetime ECL), Stage 3 (credit-impaired) allowances</w:t>
            </w:r>
          </w:p>
        </w:tc>
      </w:tr>
    </w:tbl>
    <w:p/>
    <w:p>
      <w:pPr>
        <w:pStyle w:val="Heading2"/>
      </w:pPr>
      <w:r>
        <w:t>3.4 Credit Card Subject Area (50 entities, 830 attributes)</w:t>
      </w:r>
    </w:p>
    <w:p>
      <w:r>
        <w:t>The most comprehensive subject area. Credit_Card_Account (79 attrs) and Credit_Card_Transaction (49 attrs) show strong functional depth including tokenisation, POS modes, and e-commerce indicators. The primary structural issue is the large number of duplicated reference entities and missing dispute/fraud entities.</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CC-01</w:t>
            </w:r>
          </w:p>
        </w:tc>
        <w:tc>
          <w:tcPr>
            <w:tcW w:type="dxa" w:w="2493"/>
          </w:tcPr>
          <w:p>
            <w:pPr>
              <w:spacing w:after="0"/>
            </w:pPr>
            <w:r/>
            <w:r>
              <w:rPr>
                <w:b w:val="0"/>
                <w:i w:val="0"/>
                <w:sz w:val="16"/>
              </w:rPr>
              <w:t>Loan_Instalment_Schedule entity appears in both CreditCard and Loan subject areas — same entity duplicated. Violates single-source-of-truth principle.</w:t>
            </w:r>
          </w:p>
        </w:tc>
        <w:tc>
          <w:tcPr>
            <w:tcW w:type="dxa" w:w="2493"/>
            <w:shd w:fill="FF6600" w:val="clear"/>
          </w:tcPr>
          <w:p>
            <w:pPr>
              <w:spacing w:after="0"/>
            </w:pPr>
            <w:r/>
            <w:r>
              <w:rPr>
                <w:b/>
                <w:i w:val="0"/>
                <w:sz w:val="16"/>
              </w:rPr>
              <w:t>HIGH</w:t>
            </w:r>
          </w:p>
        </w:tc>
        <w:tc>
          <w:tcPr>
            <w:tcW w:type="dxa" w:w="2493"/>
          </w:tcPr>
          <w:p>
            <w:pPr>
              <w:spacing w:after="0"/>
            </w:pPr>
            <w:r/>
            <w:r>
              <w:rPr>
                <w:b w:val="0"/>
                <w:i w:val="0"/>
                <w:sz w:val="16"/>
              </w:rPr>
              <w:t>Remove from CreditCard SA; reference the canonical Loan SA entity via FK</w:t>
            </w:r>
          </w:p>
        </w:tc>
      </w:tr>
      <w:tr>
        <w:tc>
          <w:tcPr>
            <w:tcW w:type="dxa" w:w="2493"/>
          </w:tcPr>
          <w:p>
            <w:pPr>
              <w:spacing w:after="0"/>
            </w:pPr>
            <w:r/>
            <w:r>
              <w:rPr>
                <w:b/>
                <w:i w:val="0"/>
                <w:sz w:val="16"/>
              </w:rPr>
              <w:t>CC-02</w:t>
            </w:r>
          </w:p>
        </w:tc>
        <w:tc>
          <w:tcPr>
            <w:tcW w:type="dxa" w:w="2493"/>
          </w:tcPr>
          <w:p>
            <w:pPr>
              <w:spacing w:after="0"/>
            </w:pPr>
            <w:r/>
            <w:r>
              <w:rPr>
                <w:b w:val="0"/>
                <w:i w:val="0"/>
                <w:sz w:val="16"/>
              </w:rPr>
              <w:t>Credit_Card_Statement_Line_Item appears in both CreditCard and Loan SAs — same duplication issue.</w:t>
            </w:r>
          </w:p>
        </w:tc>
        <w:tc>
          <w:tcPr>
            <w:tcW w:type="dxa" w:w="2493"/>
            <w:shd w:fill="FF6600" w:val="clear"/>
          </w:tcPr>
          <w:p>
            <w:pPr>
              <w:spacing w:after="0"/>
            </w:pPr>
            <w:r/>
            <w:r>
              <w:rPr>
                <w:b/>
                <w:i w:val="0"/>
                <w:sz w:val="16"/>
              </w:rPr>
              <w:t>HIGH</w:t>
            </w:r>
          </w:p>
        </w:tc>
        <w:tc>
          <w:tcPr>
            <w:tcW w:type="dxa" w:w="2493"/>
          </w:tcPr>
          <w:p>
            <w:pPr>
              <w:spacing w:after="0"/>
            </w:pPr>
            <w:r/>
            <w:r>
              <w:rPr>
                <w:b w:val="0"/>
                <w:i w:val="0"/>
                <w:sz w:val="16"/>
              </w:rPr>
              <w:t>Establish one canonical home (CreditCard SA); reference from Loan SA</w:t>
            </w:r>
          </w:p>
        </w:tc>
      </w:tr>
      <w:tr>
        <w:tc>
          <w:tcPr>
            <w:tcW w:type="dxa" w:w="2493"/>
          </w:tcPr>
          <w:p>
            <w:pPr>
              <w:spacing w:after="0"/>
            </w:pPr>
            <w:r/>
            <w:r>
              <w:rPr>
                <w:b/>
                <w:i w:val="0"/>
                <w:sz w:val="16"/>
              </w:rPr>
              <w:t>CC-03</w:t>
            </w:r>
          </w:p>
        </w:tc>
        <w:tc>
          <w:tcPr>
            <w:tcW w:type="dxa" w:w="2493"/>
          </w:tcPr>
          <w:p>
            <w:pPr>
              <w:spacing w:after="0"/>
            </w:pPr>
            <w:r/>
            <w:r>
              <w:rPr>
                <w:b w:val="0"/>
                <w:i w:val="0"/>
                <w:sz w:val="16"/>
              </w:rPr>
              <w:t>Missing Credit_Card_Dispute entity. Chargeback and dispute management (dispute date, reason code, amount, scheme reference, resolution) is critical for PCI DSS and customer operations.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Credit_Card_Dispute entity with: dispute_id, transaction_id, dispute_date, reason_code, amount, status, scheme_reference</w:t>
            </w:r>
          </w:p>
        </w:tc>
      </w:tr>
      <w:tr>
        <w:tc>
          <w:tcPr>
            <w:tcW w:type="dxa" w:w="2493"/>
          </w:tcPr>
          <w:p>
            <w:pPr>
              <w:spacing w:after="0"/>
            </w:pPr>
            <w:r/>
            <w:r>
              <w:rPr>
                <w:b/>
                <w:i w:val="0"/>
                <w:sz w:val="16"/>
              </w:rPr>
              <w:t>CC-04</w:t>
            </w:r>
          </w:p>
        </w:tc>
        <w:tc>
          <w:tcPr>
            <w:tcW w:type="dxa" w:w="2493"/>
          </w:tcPr>
          <w:p>
            <w:pPr>
              <w:spacing w:after="0"/>
            </w:pPr>
            <w:r/>
            <w:r>
              <w:rPr>
                <w:b w:val="0"/>
                <w:i w:val="0"/>
                <w:sz w:val="16"/>
              </w:rPr>
              <w:t>Missing Credit_Card_Auth_Request entity. Authorization attempts including declines are essential for fraud analytics, customer experience, and scheme compliance reporting.</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Credit_Card_Auth_Request with: auth_id, request_timestamp, response_code, decline_reason, fraud_score</w:t>
            </w:r>
          </w:p>
        </w:tc>
      </w:tr>
      <w:tr>
        <w:tc>
          <w:tcPr>
            <w:tcW w:type="dxa" w:w="2493"/>
          </w:tcPr>
          <w:p>
            <w:pPr>
              <w:spacing w:after="0"/>
            </w:pPr>
            <w:r/>
            <w:r>
              <w:rPr>
                <w:b/>
                <w:i w:val="0"/>
                <w:sz w:val="16"/>
              </w:rPr>
              <w:t>CC-05</w:t>
            </w:r>
          </w:p>
        </w:tc>
        <w:tc>
          <w:tcPr>
            <w:tcW w:type="dxa" w:w="2493"/>
          </w:tcPr>
          <w:p>
            <w:pPr>
              <w:spacing w:after="0"/>
            </w:pPr>
            <w:r/>
            <w:r>
              <w:rPr>
                <w:b w:val="0"/>
                <w:i w:val="0"/>
                <w:sz w:val="16"/>
              </w:rPr>
              <w:t>Amount in arrears split into 8 separate numbered attributes (amount_in_arrears_1 through amount_in_arrears_8) — a repeating group and normalisation violation.</w:t>
            </w:r>
          </w:p>
        </w:tc>
        <w:tc>
          <w:tcPr>
            <w:tcW w:type="dxa" w:w="2493"/>
            <w:shd w:fill="FF6600" w:val="clear"/>
          </w:tcPr>
          <w:p>
            <w:pPr>
              <w:spacing w:after="0"/>
            </w:pPr>
            <w:r/>
            <w:r>
              <w:rPr>
                <w:b/>
                <w:i w:val="0"/>
                <w:sz w:val="16"/>
              </w:rPr>
              <w:t>HIGH</w:t>
            </w:r>
          </w:p>
        </w:tc>
        <w:tc>
          <w:tcPr>
            <w:tcW w:type="dxa" w:w="2493"/>
          </w:tcPr>
          <w:p>
            <w:pPr>
              <w:spacing w:after="0"/>
            </w:pPr>
            <w:r/>
            <w:r>
              <w:rPr>
                <w:b w:val="0"/>
                <w:i w:val="0"/>
                <w:sz w:val="16"/>
              </w:rPr>
              <w:t>Replace with Credit_Card_Arrears_Bucket child table: (account_id, bucket_number, amount, as_of_date)</w:t>
            </w:r>
          </w:p>
        </w:tc>
      </w:tr>
      <w:tr>
        <w:tc>
          <w:tcPr>
            <w:tcW w:type="dxa" w:w="2493"/>
          </w:tcPr>
          <w:p>
            <w:pPr>
              <w:spacing w:after="0"/>
            </w:pPr>
            <w:r/>
            <w:r>
              <w:rPr>
                <w:b/>
                <w:i w:val="0"/>
                <w:sz w:val="16"/>
              </w:rPr>
              <w:t>CC-06</w:t>
            </w:r>
          </w:p>
        </w:tc>
        <w:tc>
          <w:tcPr>
            <w:tcW w:type="dxa" w:w="2493"/>
          </w:tcPr>
          <w:p>
            <w:pPr>
              <w:spacing w:after="0"/>
            </w:pPr>
            <w:r/>
            <w:r>
              <w:rPr>
                <w:b w:val="0"/>
                <w:i w:val="0"/>
                <w:sz w:val="16"/>
              </w:rPr>
              <w:t>~34 of 50 entities are reference tables; Reference_Segment, Reference_Currency, Reference_Bank_Branch, Reference_Country appear in CreditCard and 5-7 other SAs simultaneously.</w:t>
            </w:r>
          </w:p>
        </w:tc>
        <w:tc>
          <w:tcPr>
            <w:tcW w:type="dxa" w:w="2493"/>
            <w:shd w:fill="FF6600" w:val="clear"/>
          </w:tcPr>
          <w:p>
            <w:pPr>
              <w:spacing w:after="0"/>
            </w:pPr>
            <w:r/>
            <w:r>
              <w:rPr>
                <w:b/>
                <w:i w:val="0"/>
                <w:sz w:val="16"/>
              </w:rPr>
              <w:t>HIGH</w:t>
            </w:r>
          </w:p>
        </w:tc>
        <w:tc>
          <w:tcPr>
            <w:tcW w:type="dxa" w:w="2493"/>
          </w:tcPr>
          <w:p>
            <w:pPr>
              <w:spacing w:after="0"/>
            </w:pPr>
            <w:r/>
            <w:r>
              <w:rPr>
                <w:b w:val="0"/>
                <w:i w:val="0"/>
                <w:sz w:val="16"/>
              </w:rPr>
              <w:t>Centralise all reference tables into a single Reference_Data subject area. All other SAs use FK only.</w:t>
            </w:r>
          </w:p>
        </w:tc>
      </w:tr>
      <w:tr>
        <w:tc>
          <w:tcPr>
            <w:tcW w:type="dxa" w:w="2493"/>
          </w:tcPr>
          <w:p>
            <w:pPr>
              <w:spacing w:after="0"/>
            </w:pPr>
            <w:r/>
            <w:r>
              <w:rPr>
                <w:b/>
                <w:i w:val="0"/>
                <w:sz w:val="16"/>
              </w:rPr>
              <w:t>CC-07</w:t>
            </w:r>
          </w:p>
        </w:tc>
        <w:tc>
          <w:tcPr>
            <w:tcW w:type="dxa" w:w="2493"/>
          </w:tcPr>
          <w:p>
            <w:pPr>
              <w:spacing w:after="0"/>
            </w:pPr>
            <w:r/>
            <w:r>
              <w:rPr>
                <w:b w:val="0"/>
                <w:i w:val="0"/>
                <w:sz w:val="16"/>
              </w:rPr>
              <w:t>Missing Token Management lifecycle entity (Card_Token). Reference tables for token wallet/device/message types exist but no entity tracks the token lifecycle.</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Add Card_Token entity: token_id, card_id, token_wallet_type_code, device_type_code, token_status, creation_date, expiry_date</w:t>
            </w:r>
          </w:p>
        </w:tc>
      </w:tr>
    </w:tbl>
    <w:p/>
    <w:p>
      <w:pPr>
        <w:pStyle w:val="Heading2"/>
      </w:pPr>
      <w:r>
        <w:t>3.5 CASA / Bank Statement Subject Area (29 entities, 338 attributes)</w:t>
      </w:r>
    </w:p>
    <w:p>
      <w:r>
        <w:t>Core CASA transaction modelling is present. The SA is structurally fragmented with significant overlap with the Deposit SA, and the transaction entity lacks some important analytical attributes.</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CASA-01</w:t>
            </w:r>
          </w:p>
        </w:tc>
        <w:tc>
          <w:tcPr>
            <w:tcW w:type="dxa" w:w="2493"/>
          </w:tcPr>
          <w:p>
            <w:pPr>
              <w:spacing w:after="0"/>
            </w:pPr>
            <w:r/>
            <w:r>
              <w:rPr>
                <w:b w:val="0"/>
                <w:i w:val="0"/>
                <w:sz w:val="16"/>
              </w:rPr>
              <w:t>Deposit_Account and Deposit_Term_Account appear in both CASA and Deposit subject areas. Unclear ownership creates dual-maintenance risk.</w:t>
            </w:r>
          </w:p>
        </w:tc>
        <w:tc>
          <w:tcPr>
            <w:tcW w:type="dxa" w:w="2493"/>
            <w:shd w:fill="FF6600" w:val="clear"/>
          </w:tcPr>
          <w:p>
            <w:pPr>
              <w:spacing w:after="0"/>
            </w:pPr>
            <w:r/>
            <w:r>
              <w:rPr>
                <w:b/>
                <w:i w:val="0"/>
                <w:sz w:val="16"/>
              </w:rPr>
              <w:t>HIGH</w:t>
            </w:r>
          </w:p>
        </w:tc>
        <w:tc>
          <w:tcPr>
            <w:tcW w:type="dxa" w:w="2493"/>
          </w:tcPr>
          <w:p>
            <w:pPr>
              <w:spacing w:after="0"/>
            </w:pPr>
            <w:r/>
            <w:r>
              <w:rPr>
                <w:b w:val="0"/>
                <w:i w:val="0"/>
                <w:sz w:val="16"/>
              </w:rPr>
              <w:t>Define one canonical SA owner. Remove duplicates; reference via FK from the non-owning SA.</w:t>
            </w:r>
          </w:p>
        </w:tc>
      </w:tr>
      <w:tr>
        <w:tc>
          <w:tcPr>
            <w:tcW w:type="dxa" w:w="2493"/>
          </w:tcPr>
          <w:p>
            <w:pPr>
              <w:spacing w:after="0"/>
            </w:pPr>
            <w:r/>
            <w:r>
              <w:rPr>
                <w:b/>
                <w:i w:val="0"/>
                <w:sz w:val="16"/>
              </w:rPr>
              <w:t>CASA-02</w:t>
            </w:r>
          </w:p>
        </w:tc>
        <w:tc>
          <w:tcPr>
            <w:tcW w:type="dxa" w:w="2493"/>
          </w:tcPr>
          <w:p>
            <w:pPr>
              <w:spacing w:after="0"/>
            </w:pPr>
            <w:r/>
            <w:r>
              <w:rPr>
                <w:b w:val="0"/>
                <w:i w:val="0"/>
                <w:sz w:val="16"/>
              </w:rPr>
              <w:t>Missing CASA_Interest_Posting entity. Credit and debit interest postings are distinct events from regular transactions — required for IFRS 9 effective interest rate calculation.</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CASA_Interest_Posting with: account_id, interest_type (credit/debit), accrual_period, rate, amount, posting_date</w:t>
            </w:r>
          </w:p>
        </w:tc>
      </w:tr>
      <w:tr>
        <w:tc>
          <w:tcPr>
            <w:tcW w:type="dxa" w:w="2493"/>
          </w:tcPr>
          <w:p>
            <w:pPr>
              <w:spacing w:after="0"/>
            </w:pPr>
            <w:r/>
            <w:r>
              <w:rPr>
                <w:b/>
                <w:i w:val="0"/>
                <w:sz w:val="16"/>
              </w:rPr>
              <w:t>CASA-03</w:t>
            </w:r>
          </w:p>
        </w:tc>
        <w:tc>
          <w:tcPr>
            <w:tcW w:type="dxa" w:w="2493"/>
          </w:tcPr>
          <w:p>
            <w:pPr>
              <w:spacing w:after="0"/>
            </w:pPr>
            <w:r/>
            <w:r>
              <w:rPr>
                <w:b w:val="0"/>
                <w:i w:val="0"/>
                <w:sz w:val="16"/>
              </w:rPr>
              <w:t>Missing CASA_Charge_Event entity. Service charges and maintenance fees need to be distinguishable from customer transactions for revenue analytics.</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Add CASA_Charge_Event with: account_id, charge_type_code, amount, waiver_flag, posting_date</w:t>
            </w:r>
          </w:p>
        </w:tc>
      </w:tr>
      <w:tr>
        <w:tc>
          <w:tcPr>
            <w:tcW w:type="dxa" w:w="2493"/>
          </w:tcPr>
          <w:p>
            <w:pPr>
              <w:spacing w:after="0"/>
            </w:pPr>
            <w:r/>
            <w:r>
              <w:rPr>
                <w:b/>
                <w:i w:val="0"/>
                <w:sz w:val="16"/>
              </w:rPr>
              <w:t>CASA-04</w:t>
            </w:r>
          </w:p>
        </w:tc>
        <w:tc>
          <w:tcPr>
            <w:tcW w:type="dxa" w:w="2493"/>
          </w:tcPr>
          <w:p>
            <w:pPr>
              <w:spacing w:after="0"/>
            </w:pPr>
            <w:r/>
            <w:r>
              <w:rPr>
                <w:b w:val="0"/>
                <w:i w:val="0"/>
                <w:sz w:val="16"/>
              </w:rPr>
              <w:t>Entity naming inconsistency: "CASA Transaction (Statement Data)" uses spaces and parentheses while all other entities use underscores.</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Rename to CASA_Transaction_Statement_Data or simply CASA_Transaction following the dominant naming convention</w:t>
            </w:r>
          </w:p>
        </w:tc>
      </w:tr>
      <w:tr>
        <w:tc>
          <w:tcPr>
            <w:tcW w:type="dxa" w:w="2493"/>
          </w:tcPr>
          <w:p>
            <w:pPr>
              <w:spacing w:after="0"/>
            </w:pPr>
            <w:r/>
            <w:r>
              <w:rPr>
                <w:b/>
                <w:i w:val="0"/>
                <w:sz w:val="16"/>
              </w:rPr>
              <w:t>CASA-05</w:t>
            </w:r>
          </w:p>
        </w:tc>
        <w:tc>
          <w:tcPr>
            <w:tcW w:type="dxa" w:w="2493"/>
          </w:tcPr>
          <w:p>
            <w:pPr>
              <w:spacing w:after="0"/>
            </w:pPr>
            <w:r/>
            <w:r>
              <w:rPr>
                <w:b w:val="0"/>
                <w:i w:val="0"/>
                <w:sz w:val="16"/>
              </w:rPr>
              <w:t>Electronic_Channel and InterBank_Event entities appear in both CASA and Deposit SAs.</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Deduplicate: own in CASA/Txn SA, reference from Deposit SA</w:t>
            </w:r>
          </w:p>
        </w:tc>
      </w:tr>
    </w:tbl>
    <w:p/>
    <w:p>
      <w:pPr>
        <w:pStyle w:val="Heading2"/>
      </w:pPr>
      <w:r>
        <w:t>3.6 Deposit Subject Area (22 entities, 262 attributes)</w:t>
      </w:r>
    </w:p>
    <w:p>
      <w:r>
        <w:t>The weakest product subject area. Core entities are critically thin and Islamic deposit variants are entirely absent despite RAKBANK operating Islamic banking products.</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DEP-01</w:t>
            </w:r>
          </w:p>
        </w:tc>
        <w:tc>
          <w:tcPr>
            <w:tcW w:type="dxa" w:w="2493"/>
          </w:tcPr>
          <w:p>
            <w:pPr>
              <w:spacing w:after="0"/>
            </w:pPr>
            <w:r/>
            <w:r>
              <w:rPr>
                <w:b w:val="0"/>
                <w:i w:val="0"/>
                <w:sz w:val="16"/>
              </w:rPr>
              <w:t>Deposit_Term_Account has only 13 attributes — missing tenor, interest/profit rate, rate type (fixed/floating), maturity instruction (rollover/liquidate), early redemption penalty, linked CASA account for interest disbursement.</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Expand Deposit_Term_Account to 30+ attributes covering all material terms of a term deposit contract</w:t>
            </w:r>
          </w:p>
        </w:tc>
      </w:tr>
      <w:tr>
        <w:tc>
          <w:tcPr>
            <w:tcW w:type="dxa" w:w="2493"/>
          </w:tcPr>
          <w:p>
            <w:pPr>
              <w:spacing w:after="0"/>
            </w:pPr>
            <w:r/>
            <w:r>
              <w:rPr>
                <w:b/>
                <w:i w:val="0"/>
                <w:sz w:val="16"/>
              </w:rPr>
              <w:t>DEP-02</w:t>
            </w:r>
          </w:p>
        </w:tc>
        <w:tc>
          <w:tcPr>
            <w:tcW w:type="dxa" w:w="2493"/>
          </w:tcPr>
          <w:p>
            <w:pPr>
              <w:spacing w:after="0"/>
            </w:pPr>
            <w:r/>
            <w:r>
              <w:rPr>
                <w:b w:val="0"/>
                <w:i w:val="0"/>
                <w:sz w:val="16"/>
              </w:rPr>
              <w:t>Missing Deposit_Interest_Accrual entity. Daily interest accrual records are critical for income recognition under IFRS 9 effective interest rate method.</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Deposit_Interest_Accrual: account_id, accrual_date, accrual_amount, rate, posting_status</w:t>
            </w:r>
          </w:p>
        </w:tc>
      </w:tr>
      <w:tr>
        <w:tc>
          <w:tcPr>
            <w:tcW w:type="dxa" w:w="2493"/>
          </w:tcPr>
          <w:p>
            <w:pPr>
              <w:spacing w:after="0"/>
            </w:pPr>
            <w:r/>
            <w:r>
              <w:rPr>
                <w:b/>
                <w:i w:val="0"/>
                <w:sz w:val="16"/>
              </w:rPr>
              <w:t>DEP-03</w:t>
            </w:r>
          </w:p>
        </w:tc>
        <w:tc>
          <w:tcPr>
            <w:tcW w:type="dxa" w:w="2493"/>
          </w:tcPr>
          <w:p>
            <w:pPr>
              <w:spacing w:after="0"/>
            </w:pPr>
            <w:r/>
            <w:r>
              <w:rPr>
                <w:b w:val="0"/>
                <w:i w:val="0"/>
                <w:sz w:val="16"/>
              </w:rPr>
              <w:t>Missing Deposit_Rollover_History entity. TD rollover events with terms at each rollover are essential for product analytics and customer retention analysis.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Deposit_Rollover_History: account_id, rollover_date, old_maturity, new_maturity, new_rate, instruction_code</w:t>
            </w:r>
          </w:p>
        </w:tc>
      </w:tr>
      <w:tr>
        <w:tc>
          <w:tcPr>
            <w:tcW w:type="dxa" w:w="2493"/>
          </w:tcPr>
          <w:p>
            <w:pPr>
              <w:spacing w:after="0"/>
            </w:pPr>
            <w:r/>
            <w:r>
              <w:rPr>
                <w:b/>
                <w:i w:val="0"/>
                <w:sz w:val="16"/>
              </w:rPr>
              <w:t>DEP-04</w:t>
            </w:r>
          </w:p>
        </w:tc>
        <w:tc>
          <w:tcPr>
            <w:tcW w:type="dxa" w:w="2493"/>
          </w:tcPr>
          <w:p>
            <w:pPr>
              <w:spacing w:after="0"/>
            </w:pPr>
            <w:r/>
            <w:r>
              <w:rPr>
                <w:b w:val="0"/>
                <w:i w:val="0"/>
                <w:sz w:val="16"/>
              </w:rPr>
              <w:t>No Islamic Finance deposit entities. RAKBANK offers Wakala Investment Accounts, Mudaraba deposits — these have different profit-sharing mechanics vs conventional interest.</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Add Islamic_Deposit_Account entity with Sharia-specific attributes: profit_rate, profit_sharing_ratio, wakala_fee, product_approval_reference</w:t>
            </w:r>
          </w:p>
        </w:tc>
      </w:tr>
      <w:tr>
        <w:tc>
          <w:tcPr>
            <w:tcW w:type="dxa" w:w="2493"/>
          </w:tcPr>
          <w:p>
            <w:pPr>
              <w:spacing w:after="0"/>
            </w:pPr>
            <w:r/>
            <w:r>
              <w:rPr>
                <w:b/>
                <w:i w:val="0"/>
                <w:sz w:val="16"/>
              </w:rPr>
              <w:t>DEP-05</w:t>
            </w:r>
          </w:p>
        </w:tc>
        <w:tc>
          <w:tcPr>
            <w:tcW w:type="dxa" w:w="2493"/>
          </w:tcPr>
          <w:p>
            <w:pPr>
              <w:spacing w:after="0"/>
            </w:pPr>
            <w:r/>
            <w:r>
              <w:rPr>
                <w:b w:val="0"/>
                <w:i w:val="0"/>
                <w:sz w:val="16"/>
              </w:rPr>
              <w:t>BOFD Check Event and BOFD Check Image are placed in Deposit SA — check clearing entities belong in CASA or Payments SA.</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Relocate to CASA SA or a dedicated Payments subject area</w:t>
            </w:r>
          </w:p>
        </w:tc>
      </w:tr>
      <w:tr>
        <w:tc>
          <w:tcPr>
            <w:tcW w:type="dxa" w:w="2493"/>
          </w:tcPr>
          <w:p>
            <w:pPr>
              <w:spacing w:after="0"/>
            </w:pPr>
            <w:r/>
            <w:r>
              <w:rPr>
                <w:b/>
                <w:i w:val="0"/>
                <w:sz w:val="16"/>
              </w:rPr>
              <w:t>DEP-06</w:t>
            </w:r>
          </w:p>
        </w:tc>
        <w:tc>
          <w:tcPr>
            <w:tcW w:type="dxa" w:w="2493"/>
          </w:tcPr>
          <w:p>
            <w:pPr>
              <w:spacing w:after="0"/>
            </w:pPr>
            <w:r/>
            <w:r>
              <w:rPr>
                <w:b w:val="0"/>
                <w:i w:val="0"/>
                <w:sz w:val="16"/>
              </w:rPr>
              <w:t>Safe Deposit Account entity has no attributes defined — placeholder only.</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Complete entity definition or remove if out of scope</w:t>
            </w:r>
          </w:p>
        </w:tc>
      </w:tr>
    </w:tbl>
    <w:p/>
    <w:p>
      <w:pPr>
        <w:pStyle w:val="Heading2"/>
      </w:pPr>
      <w:r>
        <w:t>3.7 General Ledger Subject Area (7 entities, 103 attributes)</w:t>
      </w:r>
    </w:p>
    <w:p>
      <w:r>
        <w:t>The most critically under-modelled subject area given its foundational importance to all regulatory reporting (SupTech, IFRS 9, Basel III). GL_TRANSACTIONS with only 18 attributes is insufficient for any meaningful financial reporting use case.</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GL-01</w:t>
            </w:r>
          </w:p>
        </w:tc>
        <w:tc>
          <w:tcPr>
            <w:tcW w:type="dxa" w:w="2493"/>
          </w:tcPr>
          <w:p>
            <w:pPr>
              <w:spacing w:after="0"/>
            </w:pPr>
            <w:r/>
            <w:r>
              <w:rPr>
                <w:b w:val="0"/>
                <w:i w:val="0"/>
                <w:sz w:val="16"/>
              </w:rPr>
              <w:t>GL_TRANSACTIONS has only 18 attributes — critically thin. Missing: debit_credit_indicator, journal_id, journal_line_number, posting_period, fiscal_year, posting_date (vs value_date vs transaction_date), suspense_flag, intercompany_flag, entity_id, cost_centre_code, profit_centre_code, reversal_indicator, reversal_of_transaction_id, narrative.</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Expand GL_TRANSACTIONS to 40+ attributes. Add GL_JOURNAL_HEADER entity to group related journal entries.</w:t>
            </w:r>
          </w:p>
        </w:tc>
      </w:tr>
      <w:tr>
        <w:tc>
          <w:tcPr>
            <w:tcW w:type="dxa" w:w="2493"/>
          </w:tcPr>
          <w:p>
            <w:pPr>
              <w:spacing w:after="0"/>
            </w:pPr>
            <w:r/>
            <w:r>
              <w:rPr>
                <w:b/>
                <w:i w:val="0"/>
                <w:sz w:val="16"/>
              </w:rPr>
              <w:t>GL-02</w:t>
            </w:r>
          </w:p>
        </w:tc>
        <w:tc>
          <w:tcPr>
            <w:tcW w:type="dxa" w:w="2493"/>
          </w:tcPr>
          <w:p>
            <w:pPr>
              <w:spacing w:after="0"/>
            </w:pPr>
            <w:r/>
            <w:r>
              <w:rPr>
                <w:b w:val="0"/>
                <w:i w:val="0"/>
                <w:sz w:val="16"/>
              </w:rPr>
              <w:t>GL_MASTER has only 15 attributes — missing: financial_statement_line_code, balance_sheet_pl_indicator, normal_balance_direction, IFRS_category, account_level (sub/header), consolidation_account_id, currency_type (functional/reporting).</w:t>
            </w:r>
          </w:p>
        </w:tc>
        <w:tc>
          <w:tcPr>
            <w:tcW w:type="dxa" w:w="2493"/>
            <w:shd w:fill="FF6600" w:val="clear"/>
          </w:tcPr>
          <w:p>
            <w:pPr>
              <w:spacing w:after="0"/>
            </w:pPr>
            <w:r/>
            <w:r>
              <w:rPr>
                <w:b/>
                <w:i w:val="0"/>
                <w:sz w:val="16"/>
              </w:rPr>
              <w:t>HIGH</w:t>
            </w:r>
          </w:p>
        </w:tc>
        <w:tc>
          <w:tcPr>
            <w:tcW w:type="dxa" w:w="2493"/>
          </w:tcPr>
          <w:p>
            <w:pPr>
              <w:spacing w:after="0"/>
            </w:pPr>
            <w:r/>
            <w:r>
              <w:rPr>
                <w:b w:val="0"/>
                <w:i w:val="0"/>
                <w:sz w:val="16"/>
              </w:rPr>
              <w:t>Expand GL_MASTER to include all CoA hierarchy attributes required for financial statement preparation</w:t>
            </w:r>
          </w:p>
        </w:tc>
      </w:tr>
      <w:tr>
        <w:tc>
          <w:tcPr>
            <w:tcW w:type="dxa" w:w="2493"/>
          </w:tcPr>
          <w:p>
            <w:pPr>
              <w:spacing w:after="0"/>
            </w:pPr>
            <w:r/>
            <w:r>
              <w:rPr>
                <w:b/>
                <w:i w:val="0"/>
                <w:sz w:val="16"/>
              </w:rPr>
              <w:t>GL-03</w:t>
            </w:r>
          </w:p>
        </w:tc>
        <w:tc>
          <w:tcPr>
            <w:tcW w:type="dxa" w:w="2493"/>
          </w:tcPr>
          <w:p>
            <w:pPr>
              <w:spacing w:after="0"/>
            </w:pPr>
            <w:r/>
            <w:r>
              <w:rPr>
                <w:b w:val="0"/>
                <w:i w:val="0"/>
                <w:sz w:val="16"/>
              </w:rPr>
              <w:t>Missing GL_PERIOD / GL_CALENDAR entity. Accounting periods, fiscal year, period open/close status are foundational for any financial reporting system.</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GL_Period entity: period_id, fiscal_year, period_number, start_date, end_date, period_status (open/closed/locked)</w:t>
            </w:r>
          </w:p>
        </w:tc>
      </w:tr>
      <w:tr>
        <w:tc>
          <w:tcPr>
            <w:tcW w:type="dxa" w:w="2493"/>
          </w:tcPr>
          <w:p>
            <w:pPr>
              <w:spacing w:after="0"/>
            </w:pPr>
            <w:r/>
            <w:r>
              <w:rPr>
                <w:b/>
                <w:i w:val="0"/>
                <w:sz w:val="16"/>
              </w:rPr>
              <w:t>GL-04</w:t>
            </w:r>
          </w:p>
        </w:tc>
        <w:tc>
          <w:tcPr>
            <w:tcW w:type="dxa" w:w="2493"/>
          </w:tcPr>
          <w:p>
            <w:pPr>
              <w:spacing w:after="0"/>
            </w:pPr>
            <w:r/>
            <w:r>
              <w:rPr>
                <w:b w:val="0"/>
                <w:i w:val="0"/>
                <w:sz w:val="16"/>
              </w:rPr>
              <w:t>Missing GL_PERIOD_BALANCE entity. Period-end and year-end balances per GL account, entity, and cost centre are required for balance sheet and P&amp;L construction.</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GL_Period_Balance: gl_account_id, entity_id, cost_centre_id, period_id, opening_balance, closing_balance, currency_code</w:t>
            </w:r>
          </w:p>
        </w:tc>
      </w:tr>
      <w:tr>
        <w:tc>
          <w:tcPr>
            <w:tcW w:type="dxa" w:w="2493"/>
          </w:tcPr>
          <w:p>
            <w:pPr>
              <w:spacing w:after="0"/>
            </w:pPr>
            <w:r/>
            <w:r>
              <w:rPr>
                <w:b/>
                <w:i w:val="0"/>
                <w:sz w:val="16"/>
              </w:rPr>
              <w:t>GL-05</w:t>
            </w:r>
          </w:p>
        </w:tc>
        <w:tc>
          <w:tcPr>
            <w:tcW w:type="dxa" w:w="2493"/>
          </w:tcPr>
          <w:p>
            <w:pPr>
              <w:spacing w:after="0"/>
            </w:pPr>
            <w:r/>
            <w:r>
              <w:rPr>
                <w:b w:val="0"/>
                <w:i w:val="0"/>
                <w:sz w:val="16"/>
              </w:rPr>
              <w:t>Missing GL_JOURNAL_HEADER entity. Without a journal header, it is impossible to group related debit/credit entries or audit manual journal entries.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GL_Journal_Header: journal_id, journal_type, posting_date, period_id, prepared_by, approved_by, reversal_flag</w:t>
            </w:r>
          </w:p>
        </w:tc>
      </w:tr>
      <w:tr>
        <w:tc>
          <w:tcPr>
            <w:tcW w:type="dxa" w:w="2493"/>
          </w:tcPr>
          <w:p>
            <w:pPr>
              <w:spacing w:after="0"/>
            </w:pPr>
            <w:r/>
            <w:r>
              <w:rPr>
                <w:b/>
                <w:i w:val="0"/>
                <w:sz w:val="16"/>
              </w:rPr>
              <w:t>GL-06</w:t>
            </w:r>
          </w:p>
        </w:tc>
        <w:tc>
          <w:tcPr>
            <w:tcW w:type="dxa" w:w="2493"/>
          </w:tcPr>
          <w:p>
            <w:pPr>
              <w:spacing w:after="0"/>
            </w:pPr>
            <w:r/>
            <w:r>
              <w:rPr>
                <w:b w:val="0"/>
                <w:i w:val="0"/>
                <w:sz w:val="16"/>
              </w:rPr>
              <w:t>GL_ADJUSTMENTS entity appears in the entity list but has no attributes defined — placeholder only.</w:t>
            </w:r>
          </w:p>
        </w:tc>
        <w:tc>
          <w:tcPr>
            <w:tcW w:type="dxa" w:w="2493"/>
            <w:shd w:fill="FF6600" w:val="clear"/>
          </w:tcPr>
          <w:p>
            <w:pPr>
              <w:spacing w:after="0"/>
            </w:pPr>
            <w:r/>
            <w:r>
              <w:rPr>
                <w:b/>
                <w:i w:val="0"/>
                <w:sz w:val="16"/>
              </w:rPr>
              <w:t>HIGH</w:t>
            </w:r>
          </w:p>
        </w:tc>
        <w:tc>
          <w:tcPr>
            <w:tcW w:type="dxa" w:w="2493"/>
          </w:tcPr>
          <w:p>
            <w:pPr>
              <w:spacing w:after="0"/>
            </w:pPr>
            <w:r/>
            <w:r>
              <w:rPr>
                <w:b w:val="0"/>
                <w:i w:val="0"/>
                <w:sz w:val="16"/>
              </w:rPr>
              <w:t>Define GL_ADJUSTMENTS entity with: adjustment_id, gl_account_id, adjustment_type, amount, reason, approver, date</w:t>
            </w:r>
          </w:p>
        </w:tc>
      </w:tr>
      <w:tr>
        <w:tc>
          <w:tcPr>
            <w:tcW w:type="dxa" w:w="2493"/>
          </w:tcPr>
          <w:p>
            <w:pPr>
              <w:spacing w:after="0"/>
            </w:pPr>
            <w:r/>
            <w:r>
              <w:rPr>
                <w:b/>
                <w:i w:val="0"/>
                <w:sz w:val="16"/>
              </w:rPr>
              <w:t>GL-07</w:t>
            </w:r>
          </w:p>
        </w:tc>
        <w:tc>
          <w:tcPr>
            <w:tcW w:type="dxa" w:w="2493"/>
          </w:tcPr>
          <w:p>
            <w:pPr>
              <w:spacing w:after="0"/>
            </w:pPr>
            <w:r/>
            <w:r>
              <w:rPr>
                <w:b w:val="0"/>
                <w:i w:val="0"/>
                <w:sz w:val="16"/>
              </w:rPr>
              <w:t>CENTRAL_BANK_CODES entity is missing Business Start/End Date — inconsistent with the model's own metadata standard.</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Add Business_Start_Date (DATE), Business_End_Date (DATE) to CENTRAL_BANK_CODES</w:t>
            </w:r>
          </w:p>
        </w:tc>
      </w:tr>
    </w:tbl>
    <w:p/>
    <w:p>
      <w:pPr>
        <w:pStyle w:val="Heading2"/>
      </w:pPr>
      <w:r>
        <w:t>3.8 Application Subject Area (28 entities, 408 attributes)</w:t>
      </w:r>
    </w:p>
    <w:p>
      <w:r>
        <w:t>Good coverage of the origination workflow including application-time KYC snapshot and credit scoring. The primary structural issue is Reference Data fragmentation — reference entities duplicated from other SAs.</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APP-01</w:t>
            </w:r>
          </w:p>
        </w:tc>
        <w:tc>
          <w:tcPr>
            <w:tcW w:type="dxa" w:w="2493"/>
          </w:tcPr>
          <w:p>
            <w:pPr>
              <w:spacing w:after="0"/>
            </w:pPr>
            <w:r/>
            <w:r>
              <w:rPr>
                <w:b w:val="0"/>
                <w:i w:val="0"/>
                <w:sz w:val="16"/>
              </w:rPr>
              <w:t>Missing Application_Decision_History entity. Workflow of decisions (submission, assessment, counter-offer, approval, rejection) with decision maker and reason code is essential for Fair Lending analysis.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Application_Decision_History: application_id, decision_type, decision_date, decision_by (person/model_id), reason_code, override_flag</w:t>
            </w:r>
          </w:p>
        </w:tc>
      </w:tr>
      <w:tr>
        <w:tc>
          <w:tcPr>
            <w:tcW w:type="dxa" w:w="2493"/>
          </w:tcPr>
          <w:p>
            <w:pPr>
              <w:spacing w:after="0"/>
            </w:pPr>
            <w:r/>
            <w:r>
              <w:rPr>
                <w:b/>
                <w:i w:val="0"/>
                <w:sz w:val="16"/>
              </w:rPr>
              <w:t>APP-02</w:t>
            </w:r>
          </w:p>
        </w:tc>
        <w:tc>
          <w:tcPr>
            <w:tcW w:type="dxa" w:w="2493"/>
          </w:tcPr>
          <w:p>
            <w:pPr>
              <w:spacing w:after="0"/>
            </w:pPr>
            <w:r/>
            <w:r>
              <w:rPr>
                <w:b w:val="0"/>
                <w:i w:val="0"/>
                <w:sz w:val="16"/>
              </w:rPr>
              <w:t>Reference_Address entity has only 1 attribute — effectively empty/placeholder.</w:t>
            </w:r>
          </w:p>
        </w:tc>
        <w:tc>
          <w:tcPr>
            <w:tcW w:type="dxa" w:w="2493"/>
            <w:shd w:fill="FF6600" w:val="clear"/>
          </w:tcPr>
          <w:p>
            <w:pPr>
              <w:spacing w:after="0"/>
            </w:pPr>
            <w:r/>
            <w:r>
              <w:rPr>
                <w:b/>
                <w:i w:val="0"/>
                <w:sz w:val="16"/>
              </w:rPr>
              <w:t>HIGH</w:t>
            </w:r>
          </w:p>
        </w:tc>
        <w:tc>
          <w:tcPr>
            <w:tcW w:type="dxa" w:w="2493"/>
          </w:tcPr>
          <w:p>
            <w:pPr>
              <w:spacing w:after="0"/>
            </w:pPr>
            <w:r/>
            <w:r>
              <w:rPr>
                <w:b w:val="0"/>
                <w:i w:val="0"/>
                <w:sz w:val="16"/>
              </w:rPr>
              <w:t>Complete to a full normalised address entity or remove and reference a canonical Address entity</w:t>
            </w:r>
          </w:p>
        </w:tc>
      </w:tr>
      <w:tr>
        <w:tc>
          <w:tcPr>
            <w:tcW w:type="dxa" w:w="2493"/>
          </w:tcPr>
          <w:p>
            <w:pPr>
              <w:spacing w:after="0"/>
            </w:pPr>
            <w:r/>
            <w:r>
              <w:rPr>
                <w:b/>
                <w:i w:val="0"/>
                <w:sz w:val="16"/>
              </w:rPr>
              <w:t>APP-03</w:t>
            </w:r>
          </w:p>
        </w:tc>
        <w:tc>
          <w:tcPr>
            <w:tcW w:type="dxa" w:w="2493"/>
          </w:tcPr>
          <w:p>
            <w:pPr>
              <w:spacing w:after="0"/>
            </w:pPr>
            <w:r/>
            <w:r>
              <w:rPr>
                <w:b w:val="0"/>
                <w:i w:val="0"/>
                <w:sz w:val="16"/>
              </w:rPr>
              <w:t>Reference_Country, Reference_Currency, Reference_Customer_Type, Reference_Education, Reference_Bank_Branch, Reference_Segment all duplicated from other SAs.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Remove duplicates from Application SA. All reference entities should have a single canonical home in a Reference_Data SA.</w:t>
            </w:r>
          </w:p>
        </w:tc>
      </w:tr>
      <w:tr>
        <w:tc>
          <w:tcPr>
            <w:tcW w:type="dxa" w:w="2493"/>
          </w:tcPr>
          <w:p>
            <w:pPr>
              <w:spacing w:after="0"/>
            </w:pPr>
            <w:r/>
            <w:r>
              <w:rPr>
                <w:b/>
                <w:i w:val="0"/>
                <w:sz w:val="16"/>
              </w:rPr>
              <w:t>APP-04</w:t>
            </w:r>
          </w:p>
        </w:tc>
        <w:tc>
          <w:tcPr>
            <w:tcW w:type="dxa" w:w="2493"/>
          </w:tcPr>
          <w:p>
            <w:pPr>
              <w:spacing w:after="0"/>
            </w:pPr>
            <w:r/>
            <w:r>
              <w:rPr>
                <w:b w:val="0"/>
                <w:i w:val="0"/>
                <w:sz w:val="16"/>
              </w:rPr>
              <w:t>Application_Feature (10 attrs) has no clear business definition documented.</w:t>
            </w:r>
          </w:p>
        </w:tc>
        <w:tc>
          <w:tcPr>
            <w:tcW w:type="dxa" w:w="2493"/>
            <w:shd w:fill="C6EFCE" w:val="clear"/>
          </w:tcPr>
          <w:p>
            <w:pPr>
              <w:spacing w:after="0"/>
            </w:pPr>
            <w:r/>
            <w:r>
              <w:rPr>
                <w:b/>
                <w:i w:val="0"/>
                <w:sz w:val="16"/>
              </w:rPr>
              <w:t>LOW</w:t>
            </w:r>
          </w:p>
        </w:tc>
        <w:tc>
          <w:tcPr>
            <w:tcW w:type="dxa" w:w="2493"/>
          </w:tcPr>
          <w:p>
            <w:pPr>
              <w:spacing w:after="0"/>
            </w:pPr>
            <w:r/>
            <w:r>
              <w:rPr>
                <w:b w:val="0"/>
                <w:i w:val="0"/>
                <w:sz w:val="16"/>
              </w:rPr>
              <w:t>Add entity-level definition: what is a "feature" in the application context? Is it a product feature or application assessment attribute?</w:t>
            </w:r>
          </w:p>
        </w:tc>
      </w:tr>
    </w:tbl>
    <w:p/>
    <w:p>
      <w:pPr>
        <w:pStyle w:val="Heading2"/>
      </w:pPr>
      <w:r>
        <w:t>3.9 Bank Asset — Risk Related (5 entities, 80 attributes)</w:t>
      </w:r>
    </w:p>
    <w:p>
      <w:r>
        <w:t>The SA has good UAECB-specific regulatory coding but 5 entities is grossly insufficient for Basel III reporting coverage. Capital adequacy and RWA entities are entirely missing.</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BA-01</w:t>
            </w:r>
          </w:p>
        </w:tc>
        <w:tc>
          <w:tcPr>
            <w:tcW w:type="dxa" w:w="2493"/>
          </w:tcPr>
          <w:p>
            <w:pPr>
              <w:spacing w:after="0"/>
            </w:pPr>
            <w:r/>
            <w:r>
              <w:rPr>
                <w:b w:val="0"/>
                <w:i w:val="0"/>
                <w:sz w:val="16"/>
              </w:rPr>
              <w:t>Missing Capital_Adequacy_Position entity. CAR, Tier 1/2 capital components, capital buffers — cornerstone of Basel III regulatory capital reporting — have no entity.</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Add Capital_Adequacy_Position: entity_id, reporting_date, tier1_capital, tier2_capital, total_capital, rwa_total, car_ratio, cet1_ratio</w:t>
            </w:r>
          </w:p>
        </w:tc>
      </w:tr>
      <w:tr>
        <w:tc>
          <w:tcPr>
            <w:tcW w:type="dxa" w:w="2493"/>
          </w:tcPr>
          <w:p>
            <w:pPr>
              <w:spacing w:after="0"/>
            </w:pPr>
            <w:r/>
            <w:r>
              <w:rPr>
                <w:b/>
                <w:i w:val="0"/>
                <w:sz w:val="16"/>
              </w:rPr>
              <w:t>BA-02</w:t>
            </w:r>
          </w:p>
        </w:tc>
        <w:tc>
          <w:tcPr>
            <w:tcW w:type="dxa" w:w="2493"/>
          </w:tcPr>
          <w:p>
            <w:pPr>
              <w:spacing w:after="0"/>
            </w:pPr>
            <w:r/>
            <w:r>
              <w:rPr>
                <w:b w:val="0"/>
                <w:i w:val="0"/>
                <w:sz w:val="16"/>
              </w:rPr>
              <w:t>Missing RWA_Calculation entity. Risk-Weighted Assets by portfolio, exposure class, approach (Standardised/IRB) — foundational for CBUAE SupTech submissions.</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Add RWA_Calculation: asset_id, exposure_class, approach_type, risk_weight, rwa_amount, reporting_date</w:t>
            </w:r>
          </w:p>
        </w:tc>
      </w:tr>
      <w:tr>
        <w:tc>
          <w:tcPr>
            <w:tcW w:type="dxa" w:w="2493"/>
          </w:tcPr>
          <w:p>
            <w:pPr>
              <w:spacing w:after="0"/>
            </w:pPr>
            <w:r/>
            <w:r>
              <w:rPr>
                <w:b/>
                <w:i w:val="0"/>
                <w:sz w:val="16"/>
              </w:rPr>
              <w:t>BA-03</w:t>
            </w:r>
          </w:p>
        </w:tc>
        <w:tc>
          <w:tcPr>
            <w:tcW w:type="dxa" w:w="2493"/>
          </w:tcPr>
          <w:p>
            <w:pPr>
              <w:spacing w:after="0"/>
            </w:pPr>
            <w:r/>
            <w:r>
              <w:rPr>
                <w:b w:val="0"/>
                <w:i w:val="0"/>
                <w:sz w:val="16"/>
              </w:rPr>
              <w:t>Missing NSFR_Position entity (Net Stable Funding Ratio). Required Stable Funding vs Available Stable Funding is a mandatory Basel III liquidity metric.</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NSFR_Position: reporting_date, asf_amount, rsf_amount, nsfr_ratio, nsfr_bucket_breakdown</w:t>
            </w:r>
          </w:p>
        </w:tc>
      </w:tr>
      <w:tr>
        <w:tc>
          <w:tcPr>
            <w:tcW w:type="dxa" w:w="2493"/>
          </w:tcPr>
          <w:p>
            <w:pPr>
              <w:spacing w:after="0"/>
            </w:pPr>
            <w:r/>
            <w:r>
              <w:rPr>
                <w:b/>
                <w:i w:val="0"/>
                <w:sz w:val="16"/>
              </w:rPr>
              <w:t>BA-04</w:t>
            </w:r>
          </w:p>
        </w:tc>
        <w:tc>
          <w:tcPr>
            <w:tcW w:type="dxa" w:w="2493"/>
          </w:tcPr>
          <w:p>
            <w:pPr>
              <w:spacing w:after="0"/>
            </w:pPr>
            <w:r/>
            <w:r>
              <w:rPr>
                <w:b w:val="0"/>
                <w:i w:val="0"/>
                <w:sz w:val="16"/>
              </w:rPr>
              <w:t>Missing LCR_Position entity. Liquidity Coverage Ratio reporting requires HQLA composition and net cash outflow calculation.</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LCR_Position: reporting_date, hqla_amount, net_cash_outflows, lcr_ratio, hqla_tier breakdown</w:t>
            </w:r>
          </w:p>
        </w:tc>
      </w:tr>
      <w:tr>
        <w:tc>
          <w:tcPr>
            <w:tcW w:type="dxa" w:w="2493"/>
          </w:tcPr>
          <w:p>
            <w:pPr>
              <w:spacing w:after="0"/>
            </w:pPr>
            <w:r/>
            <w:r>
              <w:rPr>
                <w:b/>
                <w:i w:val="0"/>
                <w:sz w:val="16"/>
              </w:rPr>
              <w:t>BA-05</w:t>
            </w:r>
          </w:p>
        </w:tc>
        <w:tc>
          <w:tcPr>
            <w:tcW w:type="dxa" w:w="2493"/>
          </w:tcPr>
          <w:p>
            <w:pPr>
              <w:spacing w:after="0"/>
            </w:pPr>
            <w:r/>
            <w:r>
              <w:rPr>
                <w:b w:val="0"/>
                <w:i w:val="0"/>
                <w:sz w:val="16"/>
              </w:rPr>
              <w:t>BANK_ASSET_RISK (16 attrs) and BANK_ASSET_COLLATERAL (14 attrs) are thin — missing collateral haircut method (Simple vs Comprehensive), credit quality step, IRB parameters.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Expand both entities with Basel III-specific attributes</w:t>
            </w:r>
          </w:p>
        </w:tc>
      </w:tr>
    </w:tbl>
    <w:p/>
    <w:p>
      <w:pPr>
        <w:pStyle w:val="Heading2"/>
      </w:pPr>
      <w:r>
        <w:t>3.10 Customer Collateral Asset (12 entities, 122 attributes)</w:t>
      </w:r>
    </w:p>
    <w:p>
      <w:r>
        <w:t>Good breadth of collateral types including Crypto. Core entity Customer_CollateralAsset is well-structured. Collateral sub-type entities are uniformly thin and valuation history is absent.</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COL-01</w:t>
            </w:r>
          </w:p>
        </w:tc>
        <w:tc>
          <w:tcPr>
            <w:tcW w:type="dxa" w:w="2493"/>
          </w:tcPr>
          <w:p>
            <w:pPr>
              <w:spacing w:after="0"/>
            </w:pPr>
            <w:r/>
            <w:r>
              <w:rPr>
                <w:b w:val="0"/>
                <w:i w:val="0"/>
                <w:sz w:val="16"/>
              </w:rPr>
              <w:t>Collateral sub-type entities (Vehicles, Precious Metal, IP, Inventory, Crypto) each have only 8 attributes — all are incomplete for operational use. e.g. Vehicles needs VIN, make, model, year, registration emirate.</w:t>
            </w:r>
          </w:p>
        </w:tc>
        <w:tc>
          <w:tcPr>
            <w:tcW w:type="dxa" w:w="2493"/>
            <w:shd w:fill="FF6600" w:val="clear"/>
          </w:tcPr>
          <w:p>
            <w:pPr>
              <w:spacing w:after="0"/>
            </w:pPr>
            <w:r/>
            <w:r>
              <w:rPr>
                <w:b/>
                <w:i w:val="0"/>
                <w:sz w:val="16"/>
              </w:rPr>
              <w:t>HIGH</w:t>
            </w:r>
          </w:p>
        </w:tc>
        <w:tc>
          <w:tcPr>
            <w:tcW w:type="dxa" w:w="2493"/>
          </w:tcPr>
          <w:p>
            <w:pPr>
              <w:spacing w:after="0"/>
            </w:pPr>
            <w:r/>
            <w:r>
              <w:rPr>
                <w:b w:val="0"/>
                <w:i w:val="0"/>
                <w:sz w:val="16"/>
              </w:rPr>
              <w:t>Expand each sub-type entity with type-specific attributes to at least 15-20 attributes</w:t>
            </w:r>
          </w:p>
        </w:tc>
      </w:tr>
      <w:tr>
        <w:tc>
          <w:tcPr>
            <w:tcW w:type="dxa" w:w="2493"/>
          </w:tcPr>
          <w:p>
            <w:pPr>
              <w:spacing w:after="0"/>
            </w:pPr>
            <w:r/>
            <w:r>
              <w:rPr>
                <w:b/>
                <w:i w:val="0"/>
                <w:sz w:val="16"/>
              </w:rPr>
              <w:t>COL-02</w:t>
            </w:r>
          </w:p>
        </w:tc>
        <w:tc>
          <w:tcPr>
            <w:tcW w:type="dxa" w:w="2493"/>
          </w:tcPr>
          <w:p>
            <w:pPr>
              <w:spacing w:after="0"/>
            </w:pPr>
            <w:r/>
            <w:r>
              <w:rPr>
                <w:b w:val="0"/>
                <w:i w:val="0"/>
                <w:sz w:val="16"/>
              </w:rPr>
              <w:t>Missing Collateral_Valuation_History entity. Collateral must be revalued periodically; history is essential for LTV tracking and Basel III CRM calculations.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Collateral_Valuation_History: collateral_id, valuation_date, valuation_method, value, valuer_id, next_review_date</w:t>
            </w:r>
          </w:p>
        </w:tc>
      </w:tr>
      <w:tr>
        <w:tc>
          <w:tcPr>
            <w:tcW w:type="dxa" w:w="2493"/>
          </w:tcPr>
          <w:p>
            <w:pPr>
              <w:spacing w:after="0"/>
            </w:pPr>
            <w:r/>
            <w:r>
              <w:rPr>
                <w:b/>
                <w:i w:val="0"/>
                <w:sz w:val="16"/>
              </w:rPr>
              <w:t>COL-03</w:t>
            </w:r>
          </w:p>
        </w:tc>
        <w:tc>
          <w:tcPr>
            <w:tcW w:type="dxa" w:w="2493"/>
          </w:tcPr>
          <w:p>
            <w:pPr>
              <w:spacing w:after="0"/>
            </w:pPr>
            <w:r/>
            <w:r>
              <w:rPr>
                <w:b w:val="0"/>
                <w:i w:val="0"/>
                <w:sz w:val="16"/>
              </w:rPr>
              <w:t>Customer_Collateral_Real_Estate (9 attrs) is missing valuation methodology, Emirate/location code, land department registration number, property type (residential/commercial/industrial), floor/unit.</w:t>
            </w:r>
          </w:p>
        </w:tc>
        <w:tc>
          <w:tcPr>
            <w:tcW w:type="dxa" w:w="2493"/>
            <w:shd w:fill="FF6600" w:val="clear"/>
          </w:tcPr>
          <w:p>
            <w:pPr>
              <w:spacing w:after="0"/>
            </w:pPr>
            <w:r/>
            <w:r>
              <w:rPr>
                <w:b/>
                <w:i w:val="0"/>
                <w:sz w:val="16"/>
              </w:rPr>
              <w:t>HIGH</w:t>
            </w:r>
          </w:p>
        </w:tc>
        <w:tc>
          <w:tcPr>
            <w:tcW w:type="dxa" w:w="2493"/>
          </w:tcPr>
          <w:p>
            <w:pPr>
              <w:spacing w:after="0"/>
            </w:pPr>
            <w:r/>
            <w:r>
              <w:rPr>
                <w:b w:val="0"/>
                <w:i w:val="0"/>
                <w:sz w:val="16"/>
              </w:rPr>
              <w:t>Expand with UAE-specific real estate attributes: emirates_code, land_dept_reg_number, property_type, construction_status</w:t>
            </w:r>
          </w:p>
        </w:tc>
      </w:tr>
      <w:tr>
        <w:tc>
          <w:tcPr>
            <w:tcW w:type="dxa" w:w="2493"/>
          </w:tcPr>
          <w:p>
            <w:pPr>
              <w:spacing w:after="0"/>
            </w:pPr>
            <w:r/>
            <w:r>
              <w:rPr>
                <w:b/>
                <w:i w:val="0"/>
                <w:sz w:val="16"/>
              </w:rPr>
              <w:t>COL-04</w:t>
            </w:r>
          </w:p>
        </w:tc>
        <w:tc>
          <w:tcPr>
            <w:tcW w:type="dxa" w:w="2493"/>
          </w:tcPr>
          <w:p>
            <w:pPr>
              <w:spacing w:after="0"/>
            </w:pPr>
            <w:r/>
            <w:r>
              <w:rPr>
                <w:b w:val="0"/>
                <w:i w:val="0"/>
                <w:sz w:val="16"/>
              </w:rPr>
              <w:t>Missing Collateral_Legal_Document entity. Lien registration documents and mortgage deeds are critical for legal enforceability assessment.</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Add Collateral_Legal_Document: collateral_id, document_type, document_reference, registry_date, expiry_date, status</w:t>
            </w:r>
          </w:p>
        </w:tc>
      </w:tr>
    </w:tbl>
    <w:p/>
    <w:p>
      <w:pPr>
        <w:pStyle w:val="Heading2"/>
      </w:pPr>
      <w:r>
        <w:t>3.11 Customer Risk Rating and Score (9 entities, 249 attributes)</w:t>
      </w:r>
    </w:p>
    <w:p>
      <w:r>
        <w:t>Good foundational structure for customer-level credit risk. IFRS 9 ECL staging linkage and AML watchlist entities are missing.</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RISK-01</w:t>
            </w:r>
          </w:p>
        </w:tc>
        <w:tc>
          <w:tcPr>
            <w:tcW w:type="dxa" w:w="2493"/>
          </w:tcPr>
          <w:p>
            <w:pPr>
              <w:spacing w:after="0"/>
            </w:pPr>
            <w:r/>
            <w:r>
              <w:rPr>
                <w:b w:val="0"/>
                <w:i w:val="0"/>
                <w:sz w:val="16"/>
              </w:rPr>
              <w:t>Missing Customer_ECL_Parameters entity. Customer-level PD, LGD, staging classification (Stage 1/2/3) and SICR (Significant Increase in Credit Risk) indicator are absent.</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Add Customer_ECL_Parameters: customer_id, model_id, pd_12month, pd_lifetime, lgd_estimate, ead_estimate, ifrs9_stage, stage_change_date, sicr_flag</w:t>
            </w:r>
          </w:p>
        </w:tc>
      </w:tr>
      <w:tr>
        <w:tc>
          <w:tcPr>
            <w:tcW w:type="dxa" w:w="2493"/>
          </w:tcPr>
          <w:p>
            <w:pPr>
              <w:spacing w:after="0"/>
            </w:pPr>
            <w:r/>
            <w:r>
              <w:rPr>
                <w:b/>
                <w:i w:val="0"/>
                <w:sz w:val="16"/>
              </w:rPr>
              <w:t>RISK-02</w:t>
            </w:r>
          </w:p>
        </w:tc>
        <w:tc>
          <w:tcPr>
            <w:tcW w:type="dxa" w:w="2493"/>
          </w:tcPr>
          <w:p>
            <w:pPr>
              <w:spacing w:after="0"/>
            </w:pPr>
            <w:r/>
            <w:r>
              <w:rPr>
                <w:b w:val="0"/>
                <w:i w:val="0"/>
                <w:sz w:val="16"/>
              </w:rPr>
              <w:t>Missing Customer_Watchlist entity. Sanction screening results (OFAC, UN, UAEFIU, local lists) need event history, not just a flag on the customer entity.</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Customer_Watchlist_Match: customer_id, screening_date, list_type, match_type, match_score, disposition, dispositioned_by, dispositioned_date</w:t>
            </w:r>
          </w:p>
        </w:tc>
      </w:tr>
      <w:tr>
        <w:tc>
          <w:tcPr>
            <w:tcW w:type="dxa" w:w="2493"/>
          </w:tcPr>
          <w:p>
            <w:pPr>
              <w:spacing w:after="0"/>
            </w:pPr>
            <w:r/>
            <w:r>
              <w:rPr>
                <w:b/>
                <w:i w:val="0"/>
                <w:sz w:val="16"/>
              </w:rPr>
              <w:t>RISK-03</w:t>
            </w:r>
          </w:p>
        </w:tc>
        <w:tc>
          <w:tcPr>
            <w:tcW w:type="dxa" w:w="2493"/>
          </w:tcPr>
          <w:p>
            <w:pPr>
              <w:spacing w:after="0"/>
            </w:pPr>
            <w:r/>
            <w:r>
              <w:rPr>
                <w:b w:val="0"/>
                <w:i w:val="0"/>
                <w:sz w:val="16"/>
              </w:rPr>
              <w:t>Customer_LoanLinkage entity has no metadata attributes — incomplete entity.</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Add standard metadata columns. Clarify business purpose: link between customer risk rating and specific loan(s)?</w:t>
            </w:r>
          </w:p>
        </w:tc>
      </w:tr>
    </w:tbl>
    <w:p/>
    <w:p>
      <w:pPr>
        <w:pStyle w:val="Heading2"/>
      </w:pPr>
      <w:r>
        <w:t>3.12 ORM — Operational Risk Management (39 entities, 611 attributes)</w:t>
      </w:r>
    </w:p>
    <w:p>
      <w:r>
        <w:t>The most problematic subject area structurally. Core ORM entities are appropriate for silver, but approximately 15-20 entities are Gold/ML layer content that must be removed from silver.</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ORM-01</w:t>
            </w:r>
          </w:p>
        </w:tc>
        <w:tc>
          <w:tcPr>
            <w:tcW w:type="dxa" w:w="2493"/>
          </w:tcPr>
          <w:p>
            <w:pPr>
              <w:spacing w:after="0"/>
            </w:pPr>
            <w:r/>
            <w:r>
              <w:rPr>
                <w:b w:val="0"/>
                <w:i w:val="0"/>
                <w:sz w:val="16"/>
              </w:rPr>
              <w:t>~15 entities are Gold/ML layer content misplaced in Silver: "ORM Dashboards &amp; Reports Table", "Real-Time Risk Alerting System Table", "Predictive Risk Modeling Table", "AI-Powered Fraud Detection Enhancements Table", "ORM Dashboard &amp; Real-Time Visualization Table", "Advanced Predictive Risk Models Table", "Automated Risk Mitigation Workflow Table", "AI-Driven Predictive Scenario Planning Table", "Deep Analytics for Each Risk Category Table", "External Fraud Detection Integration Table".</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Remove all Dashboard, Predictive, AI, Alerting, and Visualization entities from the Silver model. These belong in Gold (analytics/ML layer) or in operational application configuration.</w:t>
            </w:r>
          </w:p>
        </w:tc>
      </w:tr>
      <w:tr>
        <w:tc>
          <w:tcPr>
            <w:tcW w:type="dxa" w:w="2493"/>
          </w:tcPr>
          <w:p>
            <w:pPr>
              <w:spacing w:after="0"/>
            </w:pPr>
            <w:r/>
            <w:r>
              <w:rPr>
                <w:b/>
                <w:i w:val="0"/>
                <w:sz w:val="16"/>
              </w:rPr>
              <w:t>ORM-02</w:t>
            </w:r>
          </w:p>
        </w:tc>
        <w:tc>
          <w:tcPr>
            <w:tcW w:type="dxa" w:w="2493"/>
          </w:tcPr>
          <w:p>
            <w:pPr>
              <w:spacing w:after="0"/>
            </w:pPr>
            <w:r/>
            <w:r>
              <w:rPr>
                <w:b w:val="0"/>
                <w:i w:val="0"/>
                <w:sz w:val="16"/>
              </w:rPr>
              <w:t>All entity names include "Table" suffix (e.g. "Risk Incident Table", "KRI Table"). This is a physical model artefact that does not belong in a logical model.</w:t>
            </w:r>
          </w:p>
        </w:tc>
        <w:tc>
          <w:tcPr>
            <w:tcW w:type="dxa" w:w="2493"/>
            <w:shd w:fill="FF6600" w:val="clear"/>
          </w:tcPr>
          <w:p>
            <w:pPr>
              <w:spacing w:after="0"/>
            </w:pPr>
            <w:r/>
            <w:r>
              <w:rPr>
                <w:b/>
                <w:i w:val="0"/>
                <w:sz w:val="16"/>
              </w:rPr>
              <w:t>HIGH</w:t>
            </w:r>
          </w:p>
        </w:tc>
        <w:tc>
          <w:tcPr>
            <w:tcW w:type="dxa" w:w="2493"/>
          </w:tcPr>
          <w:p>
            <w:pPr>
              <w:spacing w:after="0"/>
            </w:pPr>
            <w:r/>
            <w:r>
              <w:rPr>
                <w:b w:val="0"/>
                <w:i w:val="0"/>
                <w:sz w:val="16"/>
              </w:rPr>
              <w:t>Remove "Table" suffix from all ORM entity names. Rename to: Risk_Incident, KRI, Loss_Data_Collection, etc.</w:t>
            </w:r>
          </w:p>
        </w:tc>
      </w:tr>
      <w:tr>
        <w:tc>
          <w:tcPr>
            <w:tcW w:type="dxa" w:w="2493"/>
          </w:tcPr>
          <w:p>
            <w:pPr>
              <w:spacing w:after="0"/>
            </w:pPr>
            <w:r/>
            <w:r>
              <w:rPr>
                <w:b/>
                <w:i w:val="0"/>
                <w:sz w:val="16"/>
              </w:rPr>
              <w:t>ORM-03</w:t>
            </w:r>
          </w:p>
        </w:tc>
        <w:tc>
          <w:tcPr>
            <w:tcW w:type="dxa" w:w="2493"/>
          </w:tcPr>
          <w:p>
            <w:pPr>
              <w:spacing w:after="0"/>
            </w:pPr>
            <w:r/>
            <w:r>
              <w:rPr>
                <w:b w:val="0"/>
                <w:i w:val="0"/>
                <w:sz w:val="16"/>
              </w:rPr>
              <w:t>Risk Incident entity has only 10 attributes — missing: discovery_date vs occurrence_date, geographic_location, affected_business_unit, regulatory_notification_required_flag, insurance_claim_reference, near_miss_indicator.</w:t>
            </w:r>
          </w:p>
        </w:tc>
        <w:tc>
          <w:tcPr>
            <w:tcW w:type="dxa" w:w="2493"/>
            <w:shd w:fill="FF6600" w:val="clear"/>
          </w:tcPr>
          <w:p>
            <w:pPr>
              <w:spacing w:after="0"/>
            </w:pPr>
            <w:r/>
            <w:r>
              <w:rPr>
                <w:b/>
                <w:i w:val="0"/>
                <w:sz w:val="16"/>
              </w:rPr>
              <w:t>HIGH</w:t>
            </w:r>
          </w:p>
        </w:tc>
        <w:tc>
          <w:tcPr>
            <w:tcW w:type="dxa" w:w="2493"/>
          </w:tcPr>
          <w:p>
            <w:pPr>
              <w:spacing w:after="0"/>
            </w:pPr>
            <w:r/>
            <w:r>
              <w:rPr>
                <w:b w:val="0"/>
                <w:i w:val="0"/>
                <w:sz w:val="16"/>
              </w:rPr>
              <w:t>Expand Risk_Incident to 25+ attributes covering the full incident lifecycle</w:t>
            </w:r>
          </w:p>
        </w:tc>
      </w:tr>
      <w:tr>
        <w:tc>
          <w:tcPr>
            <w:tcW w:type="dxa" w:w="2493"/>
          </w:tcPr>
          <w:p>
            <w:pPr>
              <w:spacing w:after="0"/>
            </w:pPr>
            <w:r/>
            <w:r>
              <w:rPr>
                <w:b/>
                <w:i w:val="0"/>
                <w:sz w:val="16"/>
              </w:rPr>
              <w:t>ORM-04</w:t>
            </w:r>
          </w:p>
        </w:tc>
        <w:tc>
          <w:tcPr>
            <w:tcW w:type="dxa" w:w="2493"/>
          </w:tcPr>
          <w:p>
            <w:pPr>
              <w:spacing w:after="0"/>
            </w:pPr>
            <w:r/>
            <w:r>
              <w:rPr>
                <w:b w:val="0"/>
                <w:i w:val="0"/>
                <w:sz w:val="16"/>
              </w:rPr>
              <w:t>Risk category sub-entities (Information Security Risk, Cyber Risk, Conduct Risk) appear as separate entity tables rather than rows in a Risk_Category reference table.</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Consolidate into Reference_Risk_Category and Reference_Risk_Subcategory tables with appropriate codes</w:t>
            </w:r>
          </w:p>
        </w:tc>
      </w:tr>
      <w:tr>
        <w:tc>
          <w:tcPr>
            <w:tcW w:type="dxa" w:w="2493"/>
          </w:tcPr>
          <w:p>
            <w:pPr>
              <w:spacing w:after="0"/>
            </w:pPr>
            <w:r/>
            <w:r>
              <w:rPr>
                <w:b/>
                <w:i w:val="0"/>
                <w:sz w:val="16"/>
              </w:rPr>
              <w:t>ORM-05</w:t>
            </w:r>
          </w:p>
        </w:tc>
        <w:tc>
          <w:tcPr>
            <w:tcW w:type="dxa" w:w="2493"/>
          </w:tcPr>
          <w:p>
            <w:pPr>
              <w:spacing w:after="0"/>
            </w:pPr>
            <w:r/>
            <w:r>
              <w:rPr>
                <w:b w:val="0"/>
                <w:i w:val="0"/>
                <w:sz w:val="16"/>
              </w:rPr>
              <w:t>Missing External_Loss_Data entity. Basel II/III Pillar 2 AMA requires external industry loss data (e.g. ORX consortium data).</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Add External_Loss_Data entity for industry operational risk loss data integration</w:t>
            </w:r>
          </w:p>
        </w:tc>
      </w:tr>
    </w:tbl>
    <w:p/>
    <w:p>
      <w:pPr>
        <w:pStyle w:val="Heading2"/>
      </w:pPr>
      <w:r>
        <w:t>3.13 Trade Finance Subject Area (38 entities, 681 attributes)</w:t>
      </w:r>
    </w:p>
    <w:p>
      <w:r>
        <w:t>Good breadth of trade products. The primary structural issue is conflation of Trade Finance with Capital Markets/Investment products which also appear in the Investment SA.</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TRD-01</w:t>
            </w:r>
          </w:p>
        </w:tc>
        <w:tc>
          <w:tcPr>
            <w:tcW w:type="dxa" w:w="2493"/>
          </w:tcPr>
          <w:p>
            <w:pPr>
              <w:spacing w:after="0"/>
            </w:pPr>
            <w:r/>
            <w:r>
              <w:rPr>
                <w:b w:val="0"/>
                <w:i w:val="0"/>
                <w:sz w:val="16"/>
              </w:rPr>
              <w:t>Trade Finance (LC, Guarantees, Collections) and Capital Markets (Stocks, Bonds, Derivatives) are conflated in one SA. These are entirely different business domains.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Separate Trade Finance from Investment/Capital Markets. Trade Finance = its own SA; Capital Markets entities move to Investment SA.</w:t>
            </w:r>
          </w:p>
        </w:tc>
      </w:tr>
      <w:tr>
        <w:tc>
          <w:tcPr>
            <w:tcW w:type="dxa" w:w="2493"/>
          </w:tcPr>
          <w:p>
            <w:pPr>
              <w:spacing w:after="0"/>
            </w:pPr>
            <w:r/>
            <w:r>
              <w:rPr>
                <w:b/>
                <w:i w:val="0"/>
                <w:sz w:val="16"/>
              </w:rPr>
              <w:t>TRD-02</w:t>
            </w:r>
          </w:p>
        </w:tc>
        <w:tc>
          <w:tcPr>
            <w:tcW w:type="dxa" w:w="2493"/>
          </w:tcPr>
          <w:p>
            <w:pPr>
              <w:spacing w:after="0"/>
            </w:pPr>
            <w:r/>
            <w:r>
              <w:rPr>
                <w:b w:val="0"/>
                <w:i w:val="0"/>
                <w:sz w:val="16"/>
              </w:rPr>
              <w:t>Missing Letter_of_Credit_Amendment entity. LCs are frequently amended; amendments change terms, amount, and expiry — must be tracked as distinct events.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LC_Amendment: lc_id, amendment_number, amendment_date, changed_field, old_value, new_value, approval_reference</w:t>
            </w:r>
          </w:p>
        </w:tc>
      </w:tr>
      <w:tr>
        <w:tc>
          <w:tcPr>
            <w:tcW w:type="dxa" w:w="2493"/>
          </w:tcPr>
          <w:p>
            <w:pPr>
              <w:spacing w:after="0"/>
            </w:pPr>
            <w:r/>
            <w:r>
              <w:rPr>
                <w:b/>
                <w:i w:val="0"/>
                <w:sz w:val="16"/>
              </w:rPr>
              <w:t>TRD-03</w:t>
            </w:r>
          </w:p>
        </w:tc>
        <w:tc>
          <w:tcPr>
            <w:tcW w:type="dxa" w:w="2493"/>
          </w:tcPr>
          <w:p>
            <w:pPr>
              <w:spacing w:after="0"/>
            </w:pPr>
            <w:r/>
            <w:r>
              <w:rPr>
                <w:b w:val="0"/>
                <w:i w:val="0"/>
                <w:sz w:val="16"/>
              </w:rPr>
              <w:t>Missing Trade_Document entity. Bills of lading, certificates of origin, inspection certificates — documentary credit management requires document tracking.</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Trade_Document: trade_id, document_type_code, document_reference, presented_date, acceptance_status</w:t>
            </w:r>
          </w:p>
        </w:tc>
      </w:tr>
      <w:tr>
        <w:tc>
          <w:tcPr>
            <w:tcW w:type="dxa" w:w="2493"/>
          </w:tcPr>
          <w:p>
            <w:pPr>
              <w:spacing w:after="0"/>
            </w:pPr>
            <w:r/>
            <w:r>
              <w:rPr>
                <w:b/>
                <w:i w:val="0"/>
                <w:sz w:val="16"/>
              </w:rPr>
              <w:t>TRD-04</w:t>
            </w:r>
          </w:p>
        </w:tc>
        <w:tc>
          <w:tcPr>
            <w:tcW w:type="dxa" w:w="2493"/>
          </w:tcPr>
          <w:p>
            <w:pPr>
              <w:spacing w:after="0"/>
            </w:pPr>
            <w:r/>
            <w:r>
              <w:rPr>
                <w:b w:val="0"/>
                <w:i w:val="0"/>
                <w:sz w:val="16"/>
              </w:rPr>
              <w:t>Missing Trade_Compliance_Check entity. Sanctions screening for trade counterparties, dual-use goods checks, country embargoes — critical for AML/CFT compliance in trade finance.</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Trade_Compliance_Check: trade_id, check_date, check_type, result, override_flag, override_reason</w:t>
            </w:r>
          </w:p>
        </w:tc>
      </w:tr>
    </w:tbl>
    <w:p/>
    <w:p>
      <w:pPr>
        <w:pStyle w:val="Heading2"/>
      </w:pPr>
      <w:r>
        <w:t>3.14 Investment Subject Area (31 entities, 594 attributes)</w:t>
      </w:r>
    </w:p>
    <w:p>
      <w:r>
        <w:t>Wide coverage of investment product types. Entity overlap with Trade SA is the primary structural issue.</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INV-01</w:t>
            </w:r>
          </w:p>
        </w:tc>
        <w:tc>
          <w:tcPr>
            <w:tcW w:type="dxa" w:w="2493"/>
          </w:tcPr>
          <w:p>
            <w:pPr>
              <w:spacing w:after="0"/>
            </w:pPr>
            <w:r/>
            <w:r>
              <w:rPr>
                <w:b w:val="0"/>
                <w:i w:val="0"/>
                <w:sz w:val="16"/>
              </w:rPr>
              <w:t>Significant entity overlap with Trade SA — Stock, Bond, Trade Transaction, Stock History appear in both SAs. One entity must have one home.</w:t>
            </w:r>
          </w:p>
        </w:tc>
        <w:tc>
          <w:tcPr>
            <w:tcW w:type="dxa" w:w="2493"/>
            <w:shd w:fill="FF6600" w:val="clear"/>
          </w:tcPr>
          <w:p>
            <w:pPr>
              <w:spacing w:after="0"/>
            </w:pPr>
            <w:r/>
            <w:r>
              <w:rPr>
                <w:b/>
                <w:i w:val="0"/>
                <w:sz w:val="16"/>
              </w:rPr>
              <w:t>HIGH</w:t>
            </w:r>
          </w:p>
        </w:tc>
        <w:tc>
          <w:tcPr>
            <w:tcW w:type="dxa" w:w="2493"/>
          </w:tcPr>
          <w:p>
            <w:pPr>
              <w:spacing w:after="0"/>
            </w:pPr>
            <w:r/>
            <w:r>
              <w:rPr>
                <w:b w:val="0"/>
                <w:i w:val="0"/>
                <w:sz w:val="16"/>
              </w:rPr>
              <w:t>Conduct an SA boundary review. All securities entities should live in Investment SA; Trade Finance entities in Trade SA.</w:t>
            </w:r>
          </w:p>
        </w:tc>
      </w:tr>
      <w:tr>
        <w:tc>
          <w:tcPr>
            <w:tcW w:type="dxa" w:w="2493"/>
          </w:tcPr>
          <w:p>
            <w:pPr>
              <w:spacing w:after="0"/>
            </w:pPr>
            <w:r/>
            <w:r>
              <w:rPr>
                <w:b/>
                <w:i w:val="0"/>
                <w:sz w:val="16"/>
              </w:rPr>
              <w:t>INV-02</w:t>
            </w:r>
          </w:p>
        </w:tc>
        <w:tc>
          <w:tcPr>
            <w:tcW w:type="dxa" w:w="2493"/>
          </w:tcPr>
          <w:p>
            <w:pPr>
              <w:spacing w:after="0"/>
            </w:pPr>
            <w:r/>
            <w:r>
              <w:rPr>
                <w:b w:val="0"/>
                <w:i w:val="0"/>
                <w:sz w:val="16"/>
              </w:rPr>
              <w:t>Missing Investment_NAV_History entity. Daily NAV tracking is fundamental for mutual fund and unit trust accounting.</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Investment_NAV_History: fund_id, nav_date, nav_per_unit, currency_code, units_outstanding</w:t>
            </w:r>
          </w:p>
        </w:tc>
      </w:tr>
      <w:tr>
        <w:tc>
          <w:tcPr>
            <w:tcW w:type="dxa" w:w="2493"/>
          </w:tcPr>
          <w:p>
            <w:pPr>
              <w:spacing w:after="0"/>
            </w:pPr>
            <w:r/>
            <w:r>
              <w:rPr>
                <w:b/>
                <w:i w:val="0"/>
                <w:sz w:val="16"/>
              </w:rPr>
              <w:t>INV-03</w:t>
            </w:r>
          </w:p>
        </w:tc>
        <w:tc>
          <w:tcPr>
            <w:tcW w:type="dxa" w:w="2493"/>
          </w:tcPr>
          <w:p>
            <w:pPr>
              <w:spacing w:after="0"/>
            </w:pPr>
            <w:r/>
            <w:r>
              <w:rPr>
                <w:b w:val="0"/>
                <w:i w:val="0"/>
                <w:sz w:val="16"/>
              </w:rPr>
              <w:t>Missing Investment_Custodian entity. Custody accounts, custodian details, and settlement instructions are required for investment operations.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Investment_Custodian: custodian_id, custodian_name, settlement_instructions, bic_code, custody_account_number</w:t>
            </w:r>
          </w:p>
        </w:tc>
      </w:tr>
    </w:tbl>
    <w:p/>
    <w:p>
      <w:pPr>
        <w:pStyle w:val="Heading2"/>
      </w:pPr>
      <w:r>
        <w:t>3.15 Electronic Channel Transactions (47 entities, 792 attributes)</w:t>
      </w:r>
    </w:p>
    <w:p>
      <w:r>
        <w:t>Good event hierarchy and comprehensive channel coverage. Critical modern payment types (AANI, ISO 20022) and sanctions screening are missing.</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TXN-01</w:t>
            </w:r>
          </w:p>
        </w:tc>
        <w:tc>
          <w:tcPr>
            <w:tcW w:type="dxa" w:w="2493"/>
          </w:tcPr>
          <w:p>
            <w:pPr>
              <w:spacing w:after="0"/>
            </w:pPr>
            <w:r/>
            <w:r>
              <w:rPr>
                <w:b w:val="0"/>
                <w:i w:val="0"/>
                <w:sz w:val="16"/>
              </w:rPr>
              <w:t>Missing Real_Time_Payment_Transaction entity. UAE operates FAWRI, FAWRI+, and AANI (instant payment). These are materially different from regular fund transfers with different risk and reporting requirements.</w:t>
            </w:r>
          </w:p>
        </w:tc>
        <w:tc>
          <w:tcPr>
            <w:tcW w:type="dxa" w:w="2493"/>
            <w:shd w:fill="FF0000" w:val="clear"/>
          </w:tcPr>
          <w:p>
            <w:pPr>
              <w:spacing w:after="0"/>
            </w:pPr>
            <w:r/>
            <w:r>
              <w:rPr>
                <w:b/>
                <w:i w:val="0"/>
                <w:sz w:val="16"/>
              </w:rPr>
              <w:t>CRITICAL</w:t>
            </w:r>
          </w:p>
        </w:tc>
        <w:tc>
          <w:tcPr>
            <w:tcW w:type="dxa" w:w="2493"/>
          </w:tcPr>
          <w:p>
            <w:pPr>
              <w:spacing w:after="0"/>
            </w:pPr>
            <w:r/>
            <w:r>
              <w:rPr>
                <w:b w:val="0"/>
                <w:i w:val="0"/>
                <w:sz w:val="16"/>
              </w:rPr>
              <w:t>Add Real_Time_Payment entity for each UAE real-time rail with rail-specific attributes</w:t>
            </w:r>
          </w:p>
        </w:tc>
      </w:tr>
      <w:tr>
        <w:tc>
          <w:tcPr>
            <w:tcW w:type="dxa" w:w="2493"/>
          </w:tcPr>
          <w:p>
            <w:pPr>
              <w:spacing w:after="0"/>
            </w:pPr>
            <w:r/>
            <w:r>
              <w:rPr>
                <w:b/>
                <w:i w:val="0"/>
                <w:sz w:val="16"/>
              </w:rPr>
              <w:t>TXN-02</w:t>
            </w:r>
          </w:p>
        </w:tc>
        <w:tc>
          <w:tcPr>
            <w:tcW w:type="dxa" w:w="2493"/>
          </w:tcPr>
          <w:p>
            <w:pPr>
              <w:spacing w:after="0"/>
            </w:pPr>
            <w:r/>
            <w:r>
              <w:rPr>
                <w:b w:val="0"/>
                <w:i w:val="0"/>
                <w:sz w:val="16"/>
              </w:rPr>
              <w:t>Missing SWIFT_Payment_Message entity. MT103/MT202/MX pacs.008 message tracking for cross-border payments is absent.</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SWIFT_Payment_Message: message_id, message_type, sending_bic, receiving_bic, amount, currency, status, settlement_date</w:t>
            </w:r>
          </w:p>
        </w:tc>
      </w:tr>
      <w:tr>
        <w:tc>
          <w:tcPr>
            <w:tcW w:type="dxa" w:w="2493"/>
          </w:tcPr>
          <w:p>
            <w:pPr>
              <w:spacing w:after="0"/>
            </w:pPr>
            <w:r/>
            <w:r>
              <w:rPr>
                <w:b/>
                <w:i w:val="0"/>
                <w:sz w:val="16"/>
              </w:rPr>
              <w:t>TXN-03</w:t>
            </w:r>
          </w:p>
        </w:tc>
        <w:tc>
          <w:tcPr>
            <w:tcW w:type="dxa" w:w="2493"/>
          </w:tcPr>
          <w:p>
            <w:pPr>
              <w:spacing w:after="0"/>
            </w:pPr>
            <w:r/>
            <w:r>
              <w:rPr>
                <w:b w:val="0"/>
                <w:i w:val="0"/>
                <w:sz w:val="16"/>
              </w:rPr>
              <w:t>Missing Payment_Sanctions_Screening_Result entity. Each payment should carry a screening reference per AML/CFT regulatory requirements.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Add Payment_Sanctions_Screening_Result: payment_id, screening_date, list_type, result, match_score, disposition</w:t>
            </w:r>
          </w:p>
        </w:tc>
      </w:tr>
      <w:tr>
        <w:tc>
          <w:tcPr>
            <w:tcW w:type="dxa" w:w="2493"/>
          </w:tcPr>
          <w:p>
            <w:pPr>
              <w:spacing w:after="0"/>
            </w:pPr>
            <w:r/>
            <w:r>
              <w:rPr>
                <w:b/>
                <w:i w:val="0"/>
                <w:sz w:val="16"/>
              </w:rPr>
              <w:t>TXN-04</w:t>
            </w:r>
          </w:p>
        </w:tc>
        <w:tc>
          <w:tcPr>
            <w:tcW w:type="dxa" w:w="2493"/>
          </w:tcPr>
          <w:p>
            <w:pPr>
              <w:spacing w:after="0"/>
            </w:pPr>
            <w:r/>
            <w:r>
              <w:rPr>
                <w:b w:val="0"/>
                <w:i w:val="0"/>
                <w:sz w:val="16"/>
              </w:rPr>
              <w:t>~34 of 47 entities are reference tables — same Reference Data fragmentation. Reference_Channel, Reference_Channel_Type, Reference_Channel_Status appear here and in other SAs.</w:t>
            </w:r>
          </w:p>
        </w:tc>
        <w:tc>
          <w:tcPr>
            <w:tcW w:type="dxa" w:w="2493"/>
            <w:shd w:fill="FF6600" w:val="clear"/>
          </w:tcPr>
          <w:p>
            <w:pPr>
              <w:spacing w:after="0"/>
            </w:pPr>
            <w:r/>
            <w:r>
              <w:rPr>
                <w:b/>
                <w:i w:val="0"/>
                <w:sz w:val="16"/>
              </w:rPr>
              <w:t>HIGH</w:t>
            </w:r>
          </w:p>
        </w:tc>
        <w:tc>
          <w:tcPr>
            <w:tcW w:type="dxa" w:w="2493"/>
          </w:tcPr>
          <w:p>
            <w:pPr>
              <w:spacing w:after="0"/>
            </w:pPr>
            <w:r/>
            <w:r>
              <w:rPr>
                <w:b w:val="0"/>
                <w:i w:val="0"/>
                <w:sz w:val="16"/>
              </w:rPr>
              <w:t>Move all reference tables to a single Reference_Data SA</w:t>
            </w:r>
          </w:p>
        </w:tc>
      </w:tr>
    </w:tbl>
    <w:p/>
    <w:p>
      <w:pPr>
        <w:pStyle w:val="Heading2"/>
      </w:pPr>
      <w:r>
        <w:t>3.16 Non-Electronic Channel Transactions (10 entities, 193 attributes)</w:t>
      </w:r>
    </w:p>
    <w:p>
      <w:r>
        <w:t>Basic coverage of branch, ATM, phone banking and POS. Insufficient for branch analytics.</w:t>
      </w:r>
    </w:p>
    <w:p>
      <w:pPr>
        <w:pStyle w:val="Heading3"/>
      </w:pP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2E74B5" w:val="clear"/>
          </w:tcPr>
          <w:p>
            <w:pPr>
              <w:spacing w:after="0"/>
            </w:pPr>
            <w:r/>
            <w:r>
              <w:rPr>
                <w:b/>
                <w:i w:val="0"/>
                <w:color w:val="FFFFFF"/>
                <w:sz w:val="16"/>
              </w:rPr>
              <w:t>ID</w:t>
            </w:r>
          </w:p>
        </w:tc>
        <w:tc>
          <w:tcPr>
            <w:tcW w:type="dxa" w:w="2493"/>
            <w:shd w:fill="2E74B5" w:val="clear"/>
          </w:tcPr>
          <w:p>
            <w:pPr>
              <w:spacing w:after="0"/>
            </w:pPr>
            <w:r/>
            <w:r>
              <w:rPr>
                <w:b/>
                <w:i w:val="0"/>
                <w:color w:val="FFFFFF"/>
                <w:sz w:val="16"/>
              </w:rPr>
              <w:t>Finding</w:t>
            </w:r>
          </w:p>
        </w:tc>
        <w:tc>
          <w:tcPr>
            <w:tcW w:type="dxa" w:w="2493"/>
            <w:shd w:fill="2E74B5" w:val="clear"/>
          </w:tcPr>
          <w:p>
            <w:pPr>
              <w:spacing w:after="0"/>
            </w:pPr>
            <w:r/>
            <w:r>
              <w:rPr>
                <w:b/>
                <w:i w:val="0"/>
                <w:color w:val="FFFFFF"/>
                <w:sz w:val="16"/>
              </w:rPr>
              <w:t>Severity</w:t>
            </w:r>
          </w:p>
        </w:tc>
        <w:tc>
          <w:tcPr>
            <w:tcW w:type="dxa" w:w="2493"/>
            <w:shd w:fill="2E74B5" w:val="clear"/>
          </w:tcPr>
          <w:p>
            <w:pPr>
              <w:spacing w:after="0"/>
            </w:pPr>
            <w:r/>
            <w:r>
              <w:rPr>
                <w:b/>
                <w:i w:val="0"/>
                <w:color w:val="FFFFFF"/>
                <w:sz w:val="16"/>
              </w:rPr>
              <w:t>Recommendation</w:t>
            </w:r>
          </w:p>
        </w:tc>
      </w:tr>
      <w:tr>
        <w:tc>
          <w:tcPr>
            <w:tcW w:type="dxa" w:w="2493"/>
          </w:tcPr>
          <w:p>
            <w:pPr>
              <w:spacing w:after="0"/>
            </w:pPr>
            <w:r/>
            <w:r>
              <w:rPr>
                <w:b/>
                <w:i w:val="0"/>
                <w:sz w:val="16"/>
              </w:rPr>
              <w:t>NETXN-01</w:t>
            </w:r>
          </w:p>
        </w:tc>
        <w:tc>
          <w:tcPr>
            <w:tcW w:type="dxa" w:w="2493"/>
          </w:tcPr>
          <w:p>
            <w:pPr>
              <w:spacing w:after="0"/>
            </w:pPr>
            <w:r/>
            <w:r>
              <w:rPr>
                <w:b w:val="0"/>
                <w:i w:val="0"/>
                <w:sz w:val="16"/>
              </w:rPr>
              <w:t>Only 10 entities for the entire non-electronic channel domain — significantly under-modelled for a bank with 30+ physical branches.</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Expand with Branch_Teller_Session, ATM_Session, Cash_Management_Request, Vault_Transaction entities</w:t>
            </w:r>
          </w:p>
        </w:tc>
      </w:tr>
      <w:tr>
        <w:tc>
          <w:tcPr>
            <w:tcW w:type="dxa" w:w="2493"/>
          </w:tcPr>
          <w:p>
            <w:pPr>
              <w:spacing w:after="0"/>
            </w:pPr>
            <w:r/>
            <w:r>
              <w:rPr>
                <w:b/>
                <w:i w:val="0"/>
                <w:sz w:val="16"/>
              </w:rPr>
              <w:t>NETXN-02</w:t>
            </w:r>
          </w:p>
        </w:tc>
        <w:tc>
          <w:tcPr>
            <w:tcW w:type="dxa" w:w="2493"/>
          </w:tcPr>
          <w:p>
            <w:pPr>
              <w:spacing w:after="0"/>
            </w:pPr>
            <w:r/>
            <w:r>
              <w:rPr>
                <w:b w:val="0"/>
                <w:i w:val="0"/>
                <w:sz w:val="16"/>
              </w:rPr>
              <w:t>Missing ATM_Session entity for cash dispensing session tracking — required for fraud pattern analysis across a session.</w:t>
            </w:r>
          </w:p>
        </w:tc>
        <w:tc>
          <w:tcPr>
            <w:tcW w:type="dxa" w:w="2493"/>
            <w:shd w:fill="FFC000" w:val="clear"/>
          </w:tcPr>
          <w:p>
            <w:pPr>
              <w:spacing w:after="0"/>
            </w:pPr>
            <w:r/>
            <w:r>
              <w:rPr>
                <w:b/>
                <w:i w:val="0"/>
                <w:sz w:val="16"/>
              </w:rPr>
              <w:t>MEDIUM</w:t>
            </w:r>
          </w:p>
        </w:tc>
        <w:tc>
          <w:tcPr>
            <w:tcW w:type="dxa" w:w="2493"/>
          </w:tcPr>
          <w:p>
            <w:pPr>
              <w:spacing w:after="0"/>
            </w:pPr>
            <w:r/>
            <w:r>
              <w:rPr>
                <w:b w:val="0"/>
                <w:i w:val="0"/>
                <w:sz w:val="16"/>
              </w:rPr>
              <w:t>Add ATM_Session: session_id, atm_id, card_id, session_start, session_end, transaction_count, declined_count</w:t>
            </w:r>
          </w:p>
        </w:tc>
      </w:tr>
    </w:tbl>
    <w:p/>
    <w:p>
      <w:r>
        <w:br w:type="page"/>
      </w:r>
    </w:p>
    <w:p>
      <w:pPr>
        <w:pStyle w:val="Heading1"/>
      </w:pPr>
      <w:r>
        <w:t>4. Silver vs Gold Layer Classification Analysis</w:t>
      </w:r>
    </w:p>
    <w:p>
      <w:r>
        <w:t>This section identifies entities and attributes that have been placed in the Silver layer but correctly belong in the Gold layer (or should not exist in a data model at all). It also flags Silver-layer content that is correctly placed.</w:t>
      </w:r>
    </w:p>
    <w:p>
      <w:pPr>
        <w:pStyle w:val="Heading2"/>
      </w:pPr>
      <w:r>
        <w:t>4.1 Gold-Layer Entities Misplaced in Silver — ORM Subject Area</w:t>
      </w:r>
    </w:p>
    <w:p>
      <w:r>
        <w:t>The ORM subject area contains ~15 entities that are Gold layer artefacts. These represent computed outputs, dashboards, ML models, and alerting configurations — none of which belong in a Silver analytical model.</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C00000" w:val="clear"/>
          </w:tcPr>
          <w:p>
            <w:pPr>
              <w:spacing w:after="0"/>
            </w:pPr>
            <w:r/>
            <w:r>
              <w:rPr>
                <w:b/>
                <w:i w:val="0"/>
                <w:color w:val="FFFFFF"/>
                <w:sz w:val="16"/>
              </w:rPr>
              <w:t>Entity Name</w:t>
            </w:r>
          </w:p>
        </w:tc>
        <w:tc>
          <w:tcPr>
            <w:tcW w:type="dxa" w:w="2493"/>
            <w:shd w:fill="C00000" w:val="clear"/>
          </w:tcPr>
          <w:p>
            <w:pPr>
              <w:spacing w:after="0"/>
            </w:pPr>
            <w:r/>
            <w:r>
              <w:rPr>
                <w:b/>
                <w:i w:val="0"/>
                <w:color w:val="FFFFFF"/>
                <w:sz w:val="16"/>
              </w:rPr>
              <w:t>Subject Area</w:t>
            </w:r>
          </w:p>
        </w:tc>
        <w:tc>
          <w:tcPr>
            <w:tcW w:type="dxa" w:w="2493"/>
            <w:shd w:fill="C00000" w:val="clear"/>
          </w:tcPr>
          <w:p>
            <w:pPr>
              <w:spacing w:after="0"/>
            </w:pPr>
            <w:r/>
            <w:r>
              <w:rPr>
                <w:b/>
                <w:i w:val="0"/>
                <w:color w:val="FFFFFF"/>
                <w:sz w:val="16"/>
              </w:rPr>
              <w:t>Incorrect Layer</w:t>
            </w:r>
          </w:p>
        </w:tc>
        <w:tc>
          <w:tcPr>
            <w:tcW w:type="dxa" w:w="2493"/>
            <w:shd w:fill="C00000" w:val="clear"/>
          </w:tcPr>
          <w:p>
            <w:pPr>
              <w:spacing w:after="0"/>
            </w:pPr>
            <w:r/>
            <w:r>
              <w:rPr>
                <w:b/>
                <w:i w:val="0"/>
                <w:color w:val="FFFFFF"/>
                <w:sz w:val="16"/>
              </w:rPr>
              <w:t>Correct Location</w:t>
            </w:r>
          </w:p>
        </w:tc>
      </w:tr>
      <w:tr>
        <w:tc>
          <w:tcPr>
            <w:tcW w:type="dxa" w:w="2493"/>
          </w:tcPr>
          <w:p>
            <w:pPr>
              <w:spacing w:after="0"/>
            </w:pPr>
            <w:r/>
            <w:r>
              <w:rPr>
                <w:b w:val="0"/>
                <w:i w:val="0"/>
                <w:sz w:val="16"/>
              </w:rPr>
              <w:t>ORM Dashboards &amp; Reports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Gold — Reporting/Consumption Layer</w:t>
            </w:r>
          </w:p>
        </w:tc>
      </w:tr>
      <w:tr>
        <w:tc>
          <w:tcPr>
            <w:tcW w:type="dxa" w:w="2493"/>
          </w:tcPr>
          <w:p>
            <w:pPr>
              <w:spacing w:after="0"/>
            </w:pPr>
            <w:r/>
            <w:r>
              <w:rPr>
                <w:b w:val="0"/>
                <w:i w:val="0"/>
                <w:sz w:val="16"/>
              </w:rPr>
              <w:t>Real-Time Risk Alerting System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Operational Application / Gold Alerting Layer</w:t>
            </w:r>
          </w:p>
        </w:tc>
      </w:tr>
      <w:tr>
        <w:tc>
          <w:tcPr>
            <w:tcW w:type="dxa" w:w="2493"/>
          </w:tcPr>
          <w:p>
            <w:pPr>
              <w:spacing w:after="0"/>
            </w:pPr>
            <w:r/>
            <w:r>
              <w:rPr>
                <w:b w:val="0"/>
                <w:i w:val="0"/>
                <w:sz w:val="16"/>
              </w:rPr>
              <w:t>Predictive Risk Modeling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Gold — ML/AI Layer (model outputs)</w:t>
            </w:r>
          </w:p>
        </w:tc>
      </w:tr>
      <w:tr>
        <w:tc>
          <w:tcPr>
            <w:tcW w:type="dxa" w:w="2493"/>
          </w:tcPr>
          <w:p>
            <w:pPr>
              <w:spacing w:after="0"/>
            </w:pPr>
            <w:r/>
            <w:r>
              <w:rPr>
                <w:b w:val="0"/>
                <w:i w:val="0"/>
                <w:sz w:val="16"/>
              </w:rPr>
              <w:t>AI-Powered Fraud Detection Enhancements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Gold — AI/ML Layer</w:t>
            </w:r>
          </w:p>
        </w:tc>
      </w:tr>
      <w:tr>
        <w:tc>
          <w:tcPr>
            <w:tcW w:type="dxa" w:w="2493"/>
          </w:tcPr>
          <w:p>
            <w:pPr>
              <w:spacing w:after="0"/>
            </w:pPr>
            <w:r/>
            <w:r>
              <w:rPr>
                <w:b w:val="0"/>
                <w:i w:val="0"/>
                <w:sz w:val="16"/>
              </w:rPr>
              <w:t>External Fraud Detection Integration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Gold — Integration / Operational Layer</w:t>
            </w:r>
          </w:p>
        </w:tc>
      </w:tr>
      <w:tr>
        <w:tc>
          <w:tcPr>
            <w:tcW w:type="dxa" w:w="2493"/>
          </w:tcPr>
          <w:p>
            <w:pPr>
              <w:spacing w:after="0"/>
            </w:pPr>
            <w:r/>
            <w:r>
              <w:rPr>
                <w:b w:val="0"/>
                <w:i w:val="0"/>
                <w:sz w:val="16"/>
              </w:rPr>
              <w:t>ORM Dashboard &amp; Real-Time Visualization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Gold — BI / Visualization Layer</w:t>
            </w:r>
          </w:p>
        </w:tc>
      </w:tr>
      <w:tr>
        <w:tc>
          <w:tcPr>
            <w:tcW w:type="dxa" w:w="2493"/>
          </w:tcPr>
          <w:p>
            <w:pPr>
              <w:spacing w:after="0"/>
            </w:pPr>
            <w:r/>
            <w:r>
              <w:rPr>
                <w:b w:val="0"/>
                <w:i w:val="0"/>
                <w:sz w:val="16"/>
              </w:rPr>
              <w:t>Advanced Predictive Risk Models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Gold — ML Model Registry (separate artefact)</w:t>
            </w:r>
          </w:p>
        </w:tc>
      </w:tr>
      <w:tr>
        <w:tc>
          <w:tcPr>
            <w:tcW w:type="dxa" w:w="2493"/>
          </w:tcPr>
          <w:p>
            <w:pPr>
              <w:spacing w:after="0"/>
            </w:pPr>
            <w:r/>
            <w:r>
              <w:rPr>
                <w:b w:val="0"/>
                <w:i w:val="0"/>
                <w:sz w:val="16"/>
              </w:rPr>
              <w:t>Automated Risk Mitigation Workflow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Operational Application Layer / BPM</w:t>
            </w:r>
          </w:p>
        </w:tc>
      </w:tr>
      <w:tr>
        <w:tc>
          <w:tcPr>
            <w:tcW w:type="dxa" w:w="2493"/>
          </w:tcPr>
          <w:p>
            <w:pPr>
              <w:spacing w:after="0"/>
            </w:pPr>
            <w:r/>
            <w:r>
              <w:rPr>
                <w:b w:val="0"/>
                <w:i w:val="0"/>
                <w:sz w:val="16"/>
              </w:rPr>
              <w:t>AI-Driven Predictive Scenario Planning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Gold — Scenario Analytics (stress testing outputs)</w:t>
            </w:r>
          </w:p>
        </w:tc>
      </w:tr>
      <w:tr>
        <w:tc>
          <w:tcPr>
            <w:tcW w:type="dxa" w:w="2493"/>
          </w:tcPr>
          <w:p>
            <w:pPr>
              <w:spacing w:after="0"/>
            </w:pPr>
            <w:r/>
            <w:r>
              <w:rPr>
                <w:b w:val="0"/>
                <w:i w:val="0"/>
                <w:sz w:val="16"/>
              </w:rPr>
              <w:t>Deep Analytics for Each Risk Category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Gold — Analytics / Reporting Layer</w:t>
            </w:r>
          </w:p>
        </w:tc>
      </w:tr>
      <w:tr>
        <w:tc>
          <w:tcPr>
            <w:tcW w:type="dxa" w:w="2493"/>
          </w:tcPr>
          <w:p>
            <w:pPr>
              <w:spacing w:after="0"/>
            </w:pPr>
            <w:r/>
            <w:r>
              <w:rPr>
                <w:b w:val="0"/>
                <w:i w:val="0"/>
                <w:sz w:val="16"/>
              </w:rPr>
              <w:t>Enhanced Fraud Risk Metrics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Gold — Risk KPI Layer</w:t>
            </w:r>
          </w:p>
        </w:tc>
      </w:tr>
      <w:tr>
        <w:tc>
          <w:tcPr>
            <w:tcW w:type="dxa" w:w="2493"/>
          </w:tcPr>
          <w:p>
            <w:pPr>
              <w:spacing w:after="0"/>
            </w:pPr>
            <w:r/>
            <w:r>
              <w:rPr>
                <w:b w:val="0"/>
                <w:i w:val="0"/>
                <w:sz w:val="16"/>
              </w:rPr>
              <w:t>ORM Real-Time Monitoring Dashboard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Gold — Operational Dashboard Layer</w:t>
            </w:r>
          </w:p>
        </w:tc>
      </w:tr>
      <w:tr>
        <w:tc>
          <w:tcPr>
            <w:tcW w:type="dxa" w:w="2493"/>
          </w:tcPr>
          <w:p>
            <w:pPr>
              <w:spacing w:after="0"/>
            </w:pPr>
            <w:r/>
            <w:r>
              <w:rPr>
                <w:b w:val="0"/>
                <w:i w:val="0"/>
                <w:sz w:val="16"/>
              </w:rPr>
              <w:t>Fraud Detection Model Integration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w:t>
            </w:r>
          </w:p>
        </w:tc>
        <w:tc>
          <w:tcPr>
            <w:tcW w:type="dxa" w:w="2493"/>
          </w:tcPr>
          <w:p>
            <w:pPr>
              <w:spacing w:after="0"/>
            </w:pPr>
            <w:r/>
            <w:r>
              <w:rPr>
                <w:b w:val="0"/>
                <w:i w:val="0"/>
                <w:sz w:val="16"/>
              </w:rPr>
              <w:t>Gold — ML Integration Layer</w:t>
            </w:r>
          </w:p>
        </w:tc>
      </w:tr>
      <w:tr>
        <w:tc>
          <w:tcPr>
            <w:tcW w:type="dxa" w:w="2493"/>
          </w:tcPr>
          <w:p>
            <w:pPr>
              <w:spacing w:after="0"/>
            </w:pPr>
            <w:r/>
            <w:r>
              <w:rPr>
                <w:b w:val="0"/>
                <w:i w:val="0"/>
                <w:sz w:val="16"/>
              </w:rPr>
              <w:t>Regulatory Compliance Framework Table</w:t>
            </w:r>
          </w:p>
        </w:tc>
        <w:tc>
          <w:tcPr>
            <w:tcW w:type="dxa" w:w="2493"/>
          </w:tcPr>
          <w:p>
            <w:pPr>
              <w:spacing w:after="0"/>
            </w:pPr>
            <w:r/>
            <w:r>
              <w:rPr>
                <w:b w:val="0"/>
                <w:i w:val="0"/>
                <w:sz w:val="16"/>
              </w:rPr>
              <w:t>ORM</w:t>
            </w:r>
          </w:p>
        </w:tc>
        <w:tc>
          <w:tcPr>
            <w:tcW w:type="dxa" w:w="2493"/>
            <w:shd w:fill="FFB3B3" w:val="clear"/>
          </w:tcPr>
          <w:p>
            <w:pPr>
              <w:spacing w:after="0"/>
            </w:pPr>
            <w:r/>
            <w:r>
              <w:rPr>
                <w:b/>
                <w:i w:val="0"/>
                <w:sz w:val="16"/>
              </w:rPr>
              <w:t>SILVER (WRONG — Partial)</w:t>
            </w:r>
          </w:p>
        </w:tc>
        <w:tc>
          <w:tcPr>
            <w:tcW w:type="dxa" w:w="2493"/>
          </w:tcPr>
          <w:p>
            <w:pPr>
              <w:spacing w:after="0"/>
            </w:pPr>
            <w:r/>
            <w:r>
              <w:rPr>
                <w:b w:val="0"/>
                <w:i w:val="0"/>
                <w:sz w:val="16"/>
              </w:rPr>
              <w:t>Gold — Regulatory Reporting Layer</w:t>
            </w:r>
          </w:p>
        </w:tc>
      </w:tr>
    </w:tbl>
    <w:p/>
    <w:p>
      <w:pPr>
        <w:pStyle w:val="Heading2"/>
      </w:pPr>
      <w:r>
        <w:t>4.2 Borderline Silver/Gold Entities — Aggregation Risk</w:t>
      </w:r>
    </w:p>
    <w:p>
      <w:r>
        <w:t>The following entities contain attributes or names that suggest pre-aggregation, which would place them closer to the Gold layer. They require clarification of intent.</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C55A11" w:val="clear"/>
          </w:tcPr>
          <w:p>
            <w:pPr>
              <w:spacing w:after="0"/>
            </w:pPr>
            <w:r/>
            <w:r>
              <w:rPr>
                <w:b/>
                <w:i w:val="0"/>
                <w:color w:val="FFFFFF"/>
                <w:sz w:val="16"/>
              </w:rPr>
              <w:t>Entity</w:t>
            </w:r>
          </w:p>
        </w:tc>
        <w:tc>
          <w:tcPr>
            <w:tcW w:type="dxa" w:w="2493"/>
            <w:shd w:fill="C55A11" w:val="clear"/>
          </w:tcPr>
          <w:p>
            <w:pPr>
              <w:spacing w:after="0"/>
            </w:pPr>
            <w:r/>
            <w:r>
              <w:rPr>
                <w:b/>
                <w:i w:val="0"/>
                <w:color w:val="FFFFFF"/>
                <w:sz w:val="16"/>
              </w:rPr>
              <w:t>Subject Area</w:t>
            </w:r>
          </w:p>
        </w:tc>
        <w:tc>
          <w:tcPr>
            <w:tcW w:type="dxa" w:w="2493"/>
            <w:shd w:fill="C55A11" w:val="clear"/>
          </w:tcPr>
          <w:p>
            <w:pPr>
              <w:spacing w:after="0"/>
            </w:pPr>
            <w:r/>
            <w:r>
              <w:rPr>
                <w:b/>
                <w:i w:val="0"/>
                <w:color w:val="FFFFFF"/>
                <w:sz w:val="16"/>
              </w:rPr>
              <w:t>Concern</w:t>
            </w:r>
          </w:p>
        </w:tc>
        <w:tc>
          <w:tcPr>
            <w:tcW w:type="dxa" w:w="2493"/>
            <w:shd w:fill="C55A11" w:val="clear"/>
          </w:tcPr>
          <w:p>
            <w:pPr>
              <w:spacing w:after="0"/>
            </w:pPr>
            <w:r/>
            <w:r>
              <w:rPr>
                <w:b/>
                <w:i w:val="0"/>
                <w:color w:val="FFFFFF"/>
                <w:sz w:val="16"/>
              </w:rPr>
              <w:t>Recommendation</w:t>
            </w:r>
          </w:p>
        </w:tc>
      </w:tr>
      <w:tr>
        <w:tc>
          <w:tcPr>
            <w:tcW w:type="dxa" w:w="2493"/>
            <w:shd w:fill="FFF2CC" w:val="clear"/>
          </w:tcPr>
          <w:p>
            <w:pPr>
              <w:spacing w:after="0"/>
            </w:pPr>
            <w:r/>
            <w:r>
              <w:rPr>
                <w:b w:val="0"/>
                <w:i w:val="0"/>
                <w:sz w:val="16"/>
              </w:rPr>
              <w:t>Account_Balance_Summary_DD</w:t>
            </w:r>
          </w:p>
        </w:tc>
        <w:tc>
          <w:tcPr>
            <w:tcW w:type="dxa" w:w="2493"/>
          </w:tcPr>
          <w:p>
            <w:pPr>
              <w:spacing w:after="0"/>
            </w:pPr>
            <w:r/>
            <w:r>
              <w:rPr>
                <w:b w:val="0"/>
                <w:i w:val="0"/>
                <w:sz w:val="16"/>
              </w:rPr>
              <w:t>Account</w:t>
            </w:r>
          </w:p>
        </w:tc>
        <w:tc>
          <w:tcPr>
            <w:tcW w:type="dxa" w:w="2493"/>
          </w:tcPr>
          <w:p>
            <w:pPr>
              <w:spacing w:after="0"/>
            </w:pPr>
            <w:r/>
            <w:r>
              <w:rPr>
                <w:b w:val="0"/>
                <w:i w:val="0"/>
                <w:sz w:val="16"/>
              </w:rPr>
              <w:t>Name implies a summarised daily balance (DD=Daily). If it is a pre-computed summary, it belongs in Gold.</w:t>
            </w:r>
          </w:p>
        </w:tc>
        <w:tc>
          <w:tcPr>
            <w:tcW w:type="dxa" w:w="2493"/>
          </w:tcPr>
          <w:p>
            <w:pPr>
              <w:spacing w:after="0"/>
            </w:pPr>
            <w:r/>
            <w:r>
              <w:rPr>
                <w:b w:val="0"/>
                <w:i w:val="0"/>
                <w:sz w:val="16"/>
              </w:rPr>
              <w:t>Clarify: is this a current balance snapshot (Silver OK) or a daily aggregated balance report (Gold)?</w:t>
            </w:r>
          </w:p>
        </w:tc>
      </w:tr>
      <w:tr>
        <w:tc>
          <w:tcPr>
            <w:tcW w:type="dxa" w:w="2493"/>
            <w:shd w:fill="FFF2CC" w:val="clear"/>
          </w:tcPr>
          <w:p>
            <w:pPr>
              <w:spacing w:after="0"/>
            </w:pPr>
            <w:r/>
            <w:r>
              <w:rPr>
                <w:b w:val="0"/>
                <w:i w:val="0"/>
                <w:sz w:val="16"/>
              </w:rPr>
              <w:t>Account_Group_Score_DD</w:t>
            </w:r>
          </w:p>
        </w:tc>
        <w:tc>
          <w:tcPr>
            <w:tcW w:type="dxa" w:w="2493"/>
          </w:tcPr>
          <w:p>
            <w:pPr>
              <w:spacing w:after="0"/>
            </w:pPr>
            <w:r/>
            <w:r>
              <w:rPr>
                <w:b w:val="0"/>
                <w:i w:val="0"/>
                <w:sz w:val="16"/>
              </w:rPr>
              <w:t>Account</w:t>
            </w:r>
          </w:p>
        </w:tc>
        <w:tc>
          <w:tcPr>
            <w:tcW w:type="dxa" w:w="2493"/>
          </w:tcPr>
          <w:p>
            <w:pPr>
              <w:spacing w:after="0"/>
            </w:pPr>
            <w:r/>
            <w:r>
              <w:rPr>
                <w:b w:val="0"/>
                <w:i w:val="0"/>
                <w:sz w:val="16"/>
              </w:rPr>
              <w:t>"Score" with "DD" suffix implies a computed/aggregated risk score. If derived from underlying data, belongs in Gold.</w:t>
            </w:r>
          </w:p>
        </w:tc>
        <w:tc>
          <w:tcPr>
            <w:tcW w:type="dxa" w:w="2493"/>
          </w:tcPr>
          <w:p>
            <w:pPr>
              <w:spacing w:after="0"/>
            </w:pPr>
            <w:r/>
            <w:r>
              <w:rPr>
                <w:b w:val="0"/>
                <w:i w:val="0"/>
                <w:sz w:val="16"/>
              </w:rPr>
              <w:t>If score is sourced from a risk system as raw input, Silver is acceptable. If computed in the pipeline, move to Gold.</w:t>
            </w:r>
          </w:p>
        </w:tc>
      </w:tr>
      <w:tr>
        <w:tc>
          <w:tcPr>
            <w:tcW w:type="dxa" w:w="2493"/>
            <w:shd w:fill="FFF2CC" w:val="clear"/>
          </w:tcPr>
          <w:p>
            <w:pPr>
              <w:spacing w:after="0"/>
            </w:pPr>
            <w:r/>
            <w:r>
              <w:rPr>
                <w:b w:val="0"/>
                <w:i w:val="0"/>
                <w:sz w:val="16"/>
              </w:rPr>
              <w:t>Customer_CollectionSummary</w:t>
            </w:r>
          </w:p>
        </w:tc>
        <w:tc>
          <w:tcPr>
            <w:tcW w:type="dxa" w:w="2493"/>
          </w:tcPr>
          <w:p>
            <w:pPr>
              <w:spacing w:after="0"/>
            </w:pPr>
            <w:r/>
            <w:r>
              <w:rPr>
                <w:b w:val="0"/>
                <w:i w:val="0"/>
                <w:sz w:val="16"/>
              </w:rPr>
              <w:t>Cust Risk</w:t>
            </w:r>
          </w:p>
        </w:tc>
        <w:tc>
          <w:tcPr>
            <w:tcW w:type="dxa" w:w="2493"/>
          </w:tcPr>
          <w:p>
            <w:pPr>
              <w:spacing w:after="0"/>
            </w:pPr>
            <w:r/>
            <w:r>
              <w:rPr>
                <w:b w:val="0"/>
                <w:i w:val="0"/>
                <w:sz w:val="16"/>
              </w:rPr>
              <w:t>Summary of collection activities. If this is an aggregated view, it is Gold.</w:t>
            </w:r>
          </w:p>
        </w:tc>
        <w:tc>
          <w:tcPr>
            <w:tcW w:type="dxa" w:w="2493"/>
          </w:tcPr>
          <w:p>
            <w:pPr>
              <w:spacing w:after="0"/>
            </w:pPr>
            <w:r/>
            <w:r>
              <w:rPr>
                <w:b w:val="0"/>
                <w:i w:val="0"/>
                <w:sz w:val="16"/>
              </w:rPr>
              <w:t>Replace with Customer_Collection_Status (current state, Silver) and let Gold build the summary aggregate.</w:t>
            </w:r>
          </w:p>
        </w:tc>
      </w:tr>
      <w:tr>
        <w:tc>
          <w:tcPr>
            <w:tcW w:type="dxa" w:w="2493"/>
            <w:shd w:fill="FFF2CC" w:val="clear"/>
          </w:tcPr>
          <w:p>
            <w:pPr>
              <w:spacing w:after="0"/>
            </w:pPr>
            <w:r/>
            <w:r>
              <w:rPr>
                <w:b w:val="0"/>
                <w:i w:val="0"/>
                <w:sz w:val="16"/>
              </w:rPr>
              <w:t>Loan_Provision_Balance_History</w:t>
            </w:r>
          </w:p>
        </w:tc>
        <w:tc>
          <w:tcPr>
            <w:tcW w:type="dxa" w:w="2493"/>
          </w:tcPr>
          <w:p>
            <w:pPr>
              <w:spacing w:after="0"/>
            </w:pPr>
            <w:r/>
            <w:r>
              <w:rPr>
                <w:b w:val="0"/>
                <w:i w:val="0"/>
                <w:sz w:val="16"/>
              </w:rPr>
              <w:t>Loan</w:t>
            </w:r>
          </w:p>
        </w:tc>
        <w:tc>
          <w:tcPr>
            <w:tcW w:type="dxa" w:w="2493"/>
          </w:tcPr>
          <w:p>
            <w:pPr>
              <w:spacing w:after="0"/>
            </w:pPr>
            <w:r/>
            <w:r>
              <w:rPr>
                <w:b w:val="0"/>
                <w:i w:val="0"/>
                <w:sz w:val="16"/>
              </w:rPr>
              <w:t>Period-end provision balance history. Balance history is Silver if sourced; if calculated, it may be Gold.</w:t>
            </w:r>
          </w:p>
        </w:tc>
        <w:tc>
          <w:tcPr>
            <w:tcW w:type="dxa" w:w="2493"/>
          </w:tcPr>
          <w:p>
            <w:pPr>
              <w:spacing w:after="0"/>
            </w:pPr>
            <w:r/>
            <w:r>
              <w:rPr>
                <w:b w:val="0"/>
                <w:i w:val="0"/>
                <w:sz w:val="16"/>
              </w:rPr>
              <w:t>Clarify source: if from source system, Silver. If computed by the platform, move to Gold.</w:t>
            </w:r>
          </w:p>
        </w:tc>
      </w:tr>
      <w:tr>
        <w:tc>
          <w:tcPr>
            <w:tcW w:type="dxa" w:w="2493"/>
            <w:shd w:fill="FFF2CC" w:val="clear"/>
          </w:tcPr>
          <w:p>
            <w:pPr>
              <w:spacing w:after="0"/>
            </w:pPr>
            <w:r/>
            <w:r>
              <w:rPr>
                <w:b w:val="0"/>
                <w:i w:val="0"/>
                <w:sz w:val="16"/>
              </w:rPr>
              <w:t>GL_RECONCILIATION</w:t>
            </w:r>
          </w:p>
        </w:tc>
        <w:tc>
          <w:tcPr>
            <w:tcW w:type="dxa" w:w="2493"/>
          </w:tcPr>
          <w:p>
            <w:pPr>
              <w:spacing w:after="0"/>
            </w:pPr>
            <w:r/>
            <w:r>
              <w:rPr>
                <w:b w:val="0"/>
                <w:i w:val="0"/>
                <w:sz w:val="16"/>
              </w:rPr>
              <w:t>GL</w:t>
            </w:r>
          </w:p>
        </w:tc>
        <w:tc>
          <w:tcPr>
            <w:tcW w:type="dxa" w:w="2493"/>
          </w:tcPr>
          <w:p>
            <w:pPr>
              <w:spacing w:after="0"/>
            </w:pPr>
            <w:r/>
            <w:r>
              <w:rPr>
                <w:b w:val="0"/>
                <w:i w:val="0"/>
                <w:sz w:val="16"/>
              </w:rPr>
              <w:t>Reconciliation is a derived matching process, not raw data. The outcome record belongs in Silver; the reconciliation computation belongs in Gold/application.</w:t>
            </w:r>
          </w:p>
        </w:tc>
        <w:tc>
          <w:tcPr>
            <w:tcW w:type="dxa" w:w="2493"/>
          </w:tcPr>
          <w:p>
            <w:pPr>
              <w:spacing w:after="0"/>
            </w:pPr>
            <w:r/>
            <w:r>
              <w:rPr>
                <w:b w:val="0"/>
                <w:i w:val="0"/>
                <w:sz w:val="16"/>
              </w:rPr>
              <w:t>Keep the reconciliation result entity in Silver (status, matched/unmatched). Move reconciliation logic to ETL layer.</w:t>
            </w:r>
          </w:p>
        </w:tc>
      </w:tr>
      <w:tr>
        <w:tc>
          <w:tcPr>
            <w:tcW w:type="dxa" w:w="2493"/>
            <w:shd w:fill="FFF2CC" w:val="clear"/>
          </w:tcPr>
          <w:p>
            <w:pPr>
              <w:spacing w:after="0"/>
            </w:pPr>
            <w:r/>
            <w:r>
              <w:rPr>
                <w:b w:val="0"/>
                <w:i w:val="0"/>
                <w:sz w:val="16"/>
              </w:rPr>
              <w:t>Credit_Card_Receivables</w:t>
            </w:r>
          </w:p>
        </w:tc>
        <w:tc>
          <w:tcPr>
            <w:tcW w:type="dxa" w:w="2493"/>
          </w:tcPr>
          <w:p>
            <w:pPr>
              <w:spacing w:after="0"/>
            </w:pPr>
            <w:r/>
            <w:r>
              <w:rPr>
                <w:b w:val="0"/>
                <w:i w:val="0"/>
                <w:sz w:val="16"/>
              </w:rPr>
              <w:t>CreditCard</w:t>
            </w:r>
          </w:p>
        </w:tc>
        <w:tc>
          <w:tcPr>
            <w:tcW w:type="dxa" w:w="2493"/>
          </w:tcPr>
          <w:p>
            <w:pPr>
              <w:spacing w:after="0"/>
            </w:pPr>
            <w:r/>
            <w:r>
              <w:rPr>
                <w:b w:val="0"/>
                <w:i w:val="0"/>
                <w:sz w:val="16"/>
              </w:rPr>
              <w:t>"Receivables" typically represents an aggregated financial position. Clarify if this is an individual receivable record or a portfolio aggregate.</w:t>
            </w:r>
          </w:p>
        </w:tc>
        <w:tc>
          <w:tcPr>
            <w:tcW w:type="dxa" w:w="2493"/>
          </w:tcPr>
          <w:p>
            <w:pPr>
              <w:spacing w:after="0"/>
            </w:pPr>
            <w:r/>
            <w:r>
              <w:rPr>
                <w:b w:val="0"/>
                <w:i w:val="0"/>
                <w:sz w:val="16"/>
              </w:rPr>
              <w:t>If individual receivable per billing cycle, Silver is acceptable. If an aggregated portfolio receivable, move to Gold.</w:t>
            </w:r>
          </w:p>
        </w:tc>
      </w:tr>
      <w:tr>
        <w:tc>
          <w:tcPr>
            <w:tcW w:type="dxa" w:w="2493"/>
            <w:shd w:fill="FFF2CC" w:val="clear"/>
          </w:tcPr>
          <w:p>
            <w:pPr>
              <w:spacing w:after="0"/>
            </w:pPr>
            <w:r/>
            <w:r>
              <w:rPr>
                <w:b w:val="0"/>
                <w:i w:val="0"/>
                <w:sz w:val="16"/>
              </w:rPr>
              <w:t>Customer_ScoreHistory</w:t>
            </w:r>
          </w:p>
        </w:tc>
        <w:tc>
          <w:tcPr>
            <w:tcW w:type="dxa" w:w="2493"/>
          </w:tcPr>
          <w:p>
            <w:pPr>
              <w:spacing w:after="0"/>
            </w:pPr>
            <w:r/>
            <w:r>
              <w:rPr>
                <w:b w:val="0"/>
                <w:i w:val="0"/>
                <w:sz w:val="16"/>
              </w:rPr>
              <w:t>Cust Risk</w:t>
            </w:r>
          </w:p>
        </w:tc>
        <w:tc>
          <w:tcPr>
            <w:tcW w:type="dxa" w:w="2493"/>
          </w:tcPr>
          <w:p>
            <w:pPr>
              <w:spacing w:after="0"/>
            </w:pPr>
            <w:r/>
            <w:r>
              <w:rPr>
                <w:b w:val="0"/>
                <w:i w:val="0"/>
                <w:sz w:val="16"/>
              </w:rPr>
              <w:t>Score history (input data from scoring engine) is appropriate for Silver. However, if it stores computed model outputs it should move to Gold.</w:t>
            </w:r>
          </w:p>
        </w:tc>
        <w:tc>
          <w:tcPr>
            <w:tcW w:type="dxa" w:w="2493"/>
          </w:tcPr>
          <w:p>
            <w:pPr>
              <w:spacing w:after="0"/>
            </w:pPr>
            <w:r/>
            <w:r>
              <w:rPr>
                <w:b w:val="0"/>
                <w:i w:val="0"/>
                <w:sz w:val="16"/>
              </w:rPr>
              <w:t>Source scores from risk models as inputs are Silver. If the platform recomputes scores, the output table is Gold.</w:t>
            </w:r>
          </w:p>
        </w:tc>
      </w:tr>
    </w:tbl>
    <w:p/>
    <w:p>
      <w:pPr>
        <w:pStyle w:val="Heading2"/>
      </w:pPr>
      <w:r>
        <w:t>4.3 Correctly Placed Silver-Layer Entities (Selected Examples)</w:t>
      </w:r>
    </w:p>
    <w:p>
      <w:r>
        <w:t>The following entities are correctly placed in the Silver layer. They represent conformed master data, transaction history, or reference data — the appropriate content for a silver analytical model.</w:t>
      </w:r>
    </w:p>
    <w:tbl>
      <w:tblPr>
        <w:tblStyle w:val="TableGrid"/>
        <w:tblW w:type="auto" w:w="0"/>
        <w:tblLook w:firstColumn="1" w:firstRow="1" w:lastColumn="0" w:lastRow="0" w:noHBand="0" w:noVBand="1" w:val="04A0"/>
      </w:tblPr>
      <w:tblGrid>
        <w:gridCol w:w="3324"/>
        <w:gridCol w:w="3324"/>
        <w:gridCol w:w="3324"/>
      </w:tblGrid>
      <w:tr>
        <w:tc>
          <w:tcPr>
            <w:tcW w:type="dxa" w:w="3324"/>
            <w:shd w:fill="375623" w:val="clear"/>
          </w:tcPr>
          <w:p>
            <w:pPr>
              <w:spacing w:after="0"/>
            </w:pPr>
            <w:r/>
            <w:r>
              <w:rPr>
                <w:b/>
                <w:i w:val="0"/>
                <w:color w:val="FFFFFF"/>
                <w:sz w:val="16"/>
              </w:rPr>
              <w:t>Entity</w:t>
            </w:r>
          </w:p>
        </w:tc>
        <w:tc>
          <w:tcPr>
            <w:tcW w:type="dxa" w:w="3324"/>
            <w:shd w:fill="375623" w:val="clear"/>
          </w:tcPr>
          <w:p>
            <w:pPr>
              <w:spacing w:after="0"/>
            </w:pPr>
            <w:r/>
            <w:r>
              <w:rPr>
                <w:b/>
                <w:i w:val="0"/>
                <w:color w:val="FFFFFF"/>
                <w:sz w:val="16"/>
              </w:rPr>
              <w:t>Subject Area</w:t>
            </w:r>
          </w:p>
        </w:tc>
        <w:tc>
          <w:tcPr>
            <w:tcW w:type="dxa" w:w="3324"/>
            <w:shd w:fill="375623" w:val="clear"/>
          </w:tcPr>
          <w:p>
            <w:pPr>
              <w:spacing w:after="0"/>
            </w:pPr>
            <w:r/>
            <w:r>
              <w:rPr>
                <w:b/>
                <w:i w:val="0"/>
                <w:color w:val="FFFFFF"/>
                <w:sz w:val="16"/>
              </w:rPr>
              <w:t>Why Correctly in Silver</w:t>
            </w:r>
          </w:p>
        </w:tc>
      </w:tr>
      <w:tr>
        <w:tc>
          <w:tcPr>
            <w:tcW w:type="dxa" w:w="3324"/>
            <w:shd w:fill="E2EFDA" w:val="clear"/>
          </w:tcPr>
          <w:p>
            <w:pPr>
              <w:spacing w:after="0"/>
            </w:pPr>
            <w:r/>
            <w:r>
              <w:rPr>
                <w:b w:val="0"/>
                <w:i w:val="0"/>
                <w:sz w:val="16"/>
              </w:rPr>
              <w:t>Customer</w:t>
            </w:r>
          </w:p>
        </w:tc>
        <w:tc>
          <w:tcPr>
            <w:tcW w:type="dxa" w:w="3324"/>
          </w:tcPr>
          <w:p>
            <w:pPr>
              <w:spacing w:after="0"/>
            </w:pPr>
            <w:r/>
            <w:r>
              <w:rPr>
                <w:b w:val="0"/>
                <w:i w:val="0"/>
                <w:sz w:val="16"/>
              </w:rPr>
              <w:t>Customer</w:t>
            </w:r>
          </w:p>
        </w:tc>
        <w:tc>
          <w:tcPr>
            <w:tcW w:type="dxa" w:w="3324"/>
          </w:tcPr>
          <w:p>
            <w:pPr>
              <w:spacing w:after="0"/>
            </w:pPr>
            <w:r/>
            <w:r>
              <w:rPr>
                <w:b w:val="0"/>
                <w:i w:val="0"/>
                <w:sz w:val="16"/>
              </w:rPr>
              <w:t>Conformed master entity — CIF-keyed, multi-source integrated customer record with SCD Type 2</w:t>
            </w:r>
          </w:p>
        </w:tc>
      </w:tr>
      <w:tr>
        <w:tc>
          <w:tcPr>
            <w:tcW w:type="dxa" w:w="3324"/>
            <w:shd w:fill="E2EFDA" w:val="clear"/>
          </w:tcPr>
          <w:p>
            <w:pPr>
              <w:spacing w:after="0"/>
            </w:pPr>
            <w:r/>
            <w:r>
              <w:rPr>
                <w:b w:val="0"/>
                <w:i w:val="0"/>
                <w:sz w:val="16"/>
              </w:rPr>
              <w:t>Customer_Relationships</w:t>
            </w:r>
          </w:p>
        </w:tc>
        <w:tc>
          <w:tcPr>
            <w:tcW w:type="dxa" w:w="3324"/>
          </w:tcPr>
          <w:p>
            <w:pPr>
              <w:spacing w:after="0"/>
            </w:pPr>
            <w:r/>
            <w:r>
              <w:rPr>
                <w:b w:val="0"/>
                <w:i w:val="0"/>
                <w:sz w:val="16"/>
              </w:rPr>
              <w:t>Customer</w:t>
            </w:r>
          </w:p>
        </w:tc>
        <w:tc>
          <w:tcPr>
            <w:tcW w:type="dxa" w:w="3324"/>
          </w:tcPr>
          <w:p>
            <w:pPr>
              <w:spacing w:after="0"/>
            </w:pPr>
            <w:r/>
            <w:r>
              <w:rPr>
                <w:b w:val="0"/>
                <w:i w:val="0"/>
                <w:sz w:val="16"/>
              </w:rPr>
              <w:t>Relationship master data with CRS/FATCA attributes — raw sourced data, not derived</w:t>
            </w:r>
          </w:p>
        </w:tc>
      </w:tr>
      <w:tr>
        <w:tc>
          <w:tcPr>
            <w:tcW w:type="dxa" w:w="3324"/>
            <w:shd w:fill="E2EFDA" w:val="clear"/>
          </w:tcPr>
          <w:p>
            <w:pPr>
              <w:spacing w:after="0"/>
            </w:pPr>
            <w:r/>
            <w:r>
              <w:rPr>
                <w:b w:val="0"/>
                <w:i w:val="0"/>
                <w:sz w:val="16"/>
              </w:rPr>
              <w:t>Customer_CollateralAsset</w:t>
            </w:r>
          </w:p>
        </w:tc>
        <w:tc>
          <w:tcPr>
            <w:tcW w:type="dxa" w:w="3324"/>
          </w:tcPr>
          <w:p>
            <w:pPr>
              <w:spacing w:after="0"/>
            </w:pPr>
            <w:r/>
            <w:r>
              <w:rPr>
                <w:b w:val="0"/>
                <w:i w:val="0"/>
                <w:sz w:val="16"/>
              </w:rPr>
              <w:t>Customer Collateral</w:t>
            </w:r>
          </w:p>
        </w:tc>
        <w:tc>
          <w:tcPr>
            <w:tcW w:type="dxa" w:w="3324"/>
          </w:tcPr>
          <w:p>
            <w:pPr>
              <w:spacing w:after="0"/>
            </w:pPr>
            <w:r/>
            <w:r>
              <w:rPr>
                <w:b w:val="0"/>
                <w:i w:val="0"/>
                <w:sz w:val="16"/>
              </w:rPr>
              <w:t>Collateral master with sourced valuation — input data, not computed aggregate</w:t>
            </w:r>
          </w:p>
        </w:tc>
      </w:tr>
      <w:tr>
        <w:tc>
          <w:tcPr>
            <w:tcW w:type="dxa" w:w="3324"/>
            <w:shd w:fill="E2EFDA" w:val="clear"/>
          </w:tcPr>
          <w:p>
            <w:pPr>
              <w:spacing w:after="0"/>
            </w:pPr>
            <w:r/>
            <w:r>
              <w:rPr>
                <w:b w:val="0"/>
                <w:i w:val="0"/>
                <w:sz w:val="16"/>
              </w:rPr>
              <w:t>Credit_Card_Account</w:t>
            </w:r>
          </w:p>
        </w:tc>
        <w:tc>
          <w:tcPr>
            <w:tcW w:type="dxa" w:w="3324"/>
          </w:tcPr>
          <w:p>
            <w:pPr>
              <w:spacing w:after="0"/>
            </w:pPr>
            <w:r/>
            <w:r>
              <w:rPr>
                <w:b w:val="0"/>
                <w:i w:val="0"/>
                <w:sz w:val="16"/>
              </w:rPr>
              <w:t>CreditCard</w:t>
            </w:r>
          </w:p>
        </w:tc>
        <w:tc>
          <w:tcPr>
            <w:tcW w:type="dxa" w:w="3324"/>
          </w:tcPr>
          <w:p>
            <w:pPr>
              <w:spacing w:after="0"/>
            </w:pPr>
            <w:r/>
            <w:r>
              <w:rPr>
                <w:b w:val="0"/>
                <w:i w:val="0"/>
                <w:sz w:val="16"/>
              </w:rPr>
              <w:t>Account master state — sourced from FIS with SCD Type 2 tracking</w:t>
            </w:r>
          </w:p>
        </w:tc>
      </w:tr>
      <w:tr>
        <w:tc>
          <w:tcPr>
            <w:tcW w:type="dxa" w:w="3324"/>
            <w:shd w:fill="E2EFDA" w:val="clear"/>
          </w:tcPr>
          <w:p>
            <w:pPr>
              <w:spacing w:after="0"/>
            </w:pPr>
            <w:r/>
            <w:r>
              <w:rPr>
                <w:b w:val="0"/>
                <w:i w:val="0"/>
                <w:sz w:val="16"/>
              </w:rPr>
              <w:t>Credit_Card_Transaction</w:t>
            </w:r>
          </w:p>
        </w:tc>
        <w:tc>
          <w:tcPr>
            <w:tcW w:type="dxa" w:w="3324"/>
          </w:tcPr>
          <w:p>
            <w:pPr>
              <w:spacing w:after="0"/>
            </w:pPr>
            <w:r/>
            <w:r>
              <w:rPr>
                <w:b w:val="0"/>
                <w:i w:val="0"/>
                <w:sz w:val="16"/>
              </w:rPr>
              <w:t>CreditCard</w:t>
            </w:r>
          </w:p>
        </w:tc>
        <w:tc>
          <w:tcPr>
            <w:tcW w:type="dxa" w:w="3324"/>
          </w:tcPr>
          <w:p>
            <w:pPr>
              <w:spacing w:after="0"/>
            </w:pPr>
            <w:r/>
            <w:r>
              <w:rPr>
                <w:b w:val="0"/>
                <w:i w:val="0"/>
                <w:sz w:val="16"/>
              </w:rPr>
              <w:t>Individual transaction records — cleansed and conformed from source</w:t>
            </w:r>
          </w:p>
        </w:tc>
      </w:tr>
      <w:tr>
        <w:tc>
          <w:tcPr>
            <w:tcW w:type="dxa" w:w="3324"/>
            <w:shd w:fill="E2EFDA" w:val="clear"/>
          </w:tcPr>
          <w:p>
            <w:pPr>
              <w:spacing w:after="0"/>
            </w:pPr>
            <w:r/>
            <w:r>
              <w:rPr>
                <w:b w:val="0"/>
                <w:i w:val="0"/>
                <w:sz w:val="16"/>
              </w:rPr>
              <w:t>Loan_Account</w:t>
            </w:r>
          </w:p>
        </w:tc>
        <w:tc>
          <w:tcPr>
            <w:tcW w:type="dxa" w:w="3324"/>
          </w:tcPr>
          <w:p>
            <w:pPr>
              <w:spacing w:after="0"/>
            </w:pPr>
            <w:r/>
            <w:r>
              <w:rPr>
                <w:b w:val="0"/>
                <w:i w:val="0"/>
                <w:sz w:val="16"/>
              </w:rPr>
              <w:t>Loan</w:t>
            </w:r>
          </w:p>
        </w:tc>
        <w:tc>
          <w:tcPr>
            <w:tcW w:type="dxa" w:w="3324"/>
          </w:tcPr>
          <w:p>
            <w:pPr>
              <w:spacing w:after="0"/>
            </w:pPr>
            <w:r/>
            <w:r>
              <w:rPr>
                <w:b w:val="0"/>
                <w:i w:val="0"/>
                <w:sz w:val="16"/>
              </w:rPr>
              <w:t>Loan account master with all sourced financial attributes</w:t>
            </w:r>
          </w:p>
        </w:tc>
      </w:tr>
      <w:tr>
        <w:tc>
          <w:tcPr>
            <w:tcW w:type="dxa" w:w="3324"/>
            <w:shd w:fill="E2EFDA" w:val="clear"/>
          </w:tcPr>
          <w:p>
            <w:pPr>
              <w:spacing w:after="0"/>
            </w:pPr>
            <w:r/>
            <w:r>
              <w:rPr>
                <w:b w:val="0"/>
                <w:i w:val="0"/>
                <w:sz w:val="16"/>
              </w:rPr>
              <w:t>Loan_Instalment_Schedule</w:t>
            </w:r>
          </w:p>
        </w:tc>
        <w:tc>
          <w:tcPr>
            <w:tcW w:type="dxa" w:w="3324"/>
          </w:tcPr>
          <w:p>
            <w:pPr>
              <w:spacing w:after="0"/>
            </w:pPr>
            <w:r/>
            <w:r>
              <w:rPr>
                <w:b w:val="0"/>
                <w:i w:val="0"/>
                <w:sz w:val="16"/>
              </w:rPr>
              <w:t>Loan</w:t>
            </w:r>
          </w:p>
        </w:tc>
        <w:tc>
          <w:tcPr>
            <w:tcW w:type="dxa" w:w="3324"/>
          </w:tcPr>
          <w:p>
            <w:pPr>
              <w:spacing w:after="0"/>
            </w:pPr>
            <w:r/>
            <w:r>
              <w:rPr>
                <w:b w:val="0"/>
                <w:i w:val="0"/>
                <w:sz w:val="16"/>
              </w:rPr>
              <w:t>Scheduled payment plan — sourced from loan origination system</w:t>
            </w:r>
          </w:p>
        </w:tc>
      </w:tr>
      <w:tr>
        <w:tc>
          <w:tcPr>
            <w:tcW w:type="dxa" w:w="3324"/>
            <w:shd w:fill="E2EFDA" w:val="clear"/>
          </w:tcPr>
          <w:p>
            <w:pPr>
              <w:spacing w:after="0"/>
            </w:pPr>
            <w:r/>
            <w:r>
              <w:rPr>
                <w:b w:val="0"/>
                <w:i w:val="0"/>
                <w:sz w:val="16"/>
              </w:rPr>
              <w:t>Customer_BureauScore</w:t>
            </w:r>
          </w:p>
        </w:tc>
        <w:tc>
          <w:tcPr>
            <w:tcW w:type="dxa" w:w="3324"/>
          </w:tcPr>
          <w:p>
            <w:pPr>
              <w:spacing w:after="0"/>
            </w:pPr>
            <w:r/>
            <w:r>
              <w:rPr>
                <w:b w:val="0"/>
                <w:i w:val="0"/>
                <w:sz w:val="16"/>
              </w:rPr>
              <w:t>Cust Risk</w:t>
            </w:r>
          </w:p>
        </w:tc>
        <w:tc>
          <w:tcPr>
            <w:tcW w:type="dxa" w:w="3324"/>
          </w:tcPr>
          <w:p>
            <w:pPr>
              <w:spacing w:after="0"/>
            </w:pPr>
            <w:r/>
            <w:r>
              <w:rPr>
                <w:b w:val="0"/>
                <w:i w:val="0"/>
                <w:sz w:val="16"/>
              </w:rPr>
              <w:t>Bureau-sourced credit score — external input data, not platform-computed</w:t>
            </w:r>
          </w:p>
        </w:tc>
      </w:tr>
      <w:tr>
        <w:tc>
          <w:tcPr>
            <w:tcW w:type="dxa" w:w="3324"/>
            <w:shd w:fill="E2EFDA" w:val="clear"/>
          </w:tcPr>
          <w:p>
            <w:pPr>
              <w:spacing w:after="0"/>
            </w:pPr>
            <w:r/>
            <w:r>
              <w:rPr>
                <w:b w:val="0"/>
                <w:i w:val="0"/>
                <w:sz w:val="16"/>
              </w:rPr>
              <w:t>Customer_RiskRating &amp; Scoring</w:t>
            </w:r>
          </w:p>
        </w:tc>
        <w:tc>
          <w:tcPr>
            <w:tcW w:type="dxa" w:w="3324"/>
          </w:tcPr>
          <w:p>
            <w:pPr>
              <w:spacing w:after="0"/>
            </w:pPr>
            <w:r/>
            <w:r>
              <w:rPr>
                <w:b w:val="0"/>
                <w:i w:val="0"/>
                <w:sz w:val="16"/>
              </w:rPr>
              <w:t>Cust Risk</w:t>
            </w:r>
          </w:p>
        </w:tc>
        <w:tc>
          <w:tcPr>
            <w:tcW w:type="dxa" w:w="3324"/>
          </w:tcPr>
          <w:p>
            <w:pPr>
              <w:spacing w:after="0"/>
            </w:pPr>
            <w:r/>
            <w:r>
              <w:rPr>
                <w:b w:val="0"/>
                <w:i w:val="0"/>
                <w:sz w:val="16"/>
              </w:rPr>
              <w:t>Time-bounded risk rating from source risk system — raw input</w:t>
            </w:r>
          </w:p>
        </w:tc>
      </w:tr>
      <w:tr>
        <w:tc>
          <w:tcPr>
            <w:tcW w:type="dxa" w:w="3324"/>
            <w:shd w:fill="E2EFDA" w:val="clear"/>
          </w:tcPr>
          <w:p>
            <w:pPr>
              <w:spacing w:after="0"/>
            </w:pPr>
            <w:r/>
            <w:r>
              <w:rPr>
                <w:b w:val="0"/>
                <w:i w:val="0"/>
                <w:sz w:val="16"/>
              </w:rPr>
              <w:t>Import_LC_Transactions</w:t>
            </w:r>
          </w:p>
        </w:tc>
        <w:tc>
          <w:tcPr>
            <w:tcW w:type="dxa" w:w="3324"/>
          </w:tcPr>
          <w:p>
            <w:pPr>
              <w:spacing w:after="0"/>
            </w:pPr>
            <w:r/>
            <w:r>
              <w:rPr>
                <w:b w:val="0"/>
                <w:i w:val="0"/>
                <w:sz w:val="16"/>
              </w:rPr>
              <w:t>Trade</w:t>
            </w:r>
          </w:p>
        </w:tc>
        <w:tc>
          <w:tcPr>
            <w:tcW w:type="dxa" w:w="3324"/>
          </w:tcPr>
          <w:p>
            <w:pPr>
              <w:spacing w:after="0"/>
            </w:pPr>
            <w:r/>
            <w:r>
              <w:rPr>
                <w:b w:val="0"/>
                <w:i w:val="0"/>
                <w:sz w:val="16"/>
              </w:rPr>
              <w:t>Individual LC records — sourced from Eximbills, not aggregated</w:t>
            </w:r>
          </w:p>
        </w:tc>
      </w:tr>
      <w:tr>
        <w:tc>
          <w:tcPr>
            <w:tcW w:type="dxa" w:w="3324"/>
            <w:shd w:fill="E2EFDA" w:val="clear"/>
          </w:tcPr>
          <w:p>
            <w:pPr>
              <w:spacing w:after="0"/>
            </w:pPr>
            <w:r/>
            <w:r>
              <w:rPr>
                <w:b w:val="0"/>
                <w:i w:val="0"/>
                <w:sz w:val="16"/>
              </w:rPr>
              <w:t>Bank_Guarantees</w:t>
            </w:r>
          </w:p>
        </w:tc>
        <w:tc>
          <w:tcPr>
            <w:tcW w:type="dxa" w:w="3324"/>
          </w:tcPr>
          <w:p>
            <w:pPr>
              <w:spacing w:after="0"/>
            </w:pPr>
            <w:r/>
            <w:r>
              <w:rPr>
                <w:b w:val="0"/>
                <w:i w:val="0"/>
                <w:sz w:val="16"/>
              </w:rPr>
              <w:t>Trade</w:t>
            </w:r>
          </w:p>
        </w:tc>
        <w:tc>
          <w:tcPr>
            <w:tcW w:type="dxa" w:w="3324"/>
          </w:tcPr>
          <w:p>
            <w:pPr>
              <w:spacing w:after="0"/>
            </w:pPr>
            <w:r/>
            <w:r>
              <w:rPr>
                <w:b w:val="0"/>
                <w:i w:val="0"/>
                <w:sz w:val="16"/>
              </w:rPr>
              <w:t>Individual guarantee records — sourced from trade finance system</w:t>
            </w:r>
          </w:p>
        </w:tc>
      </w:tr>
      <w:tr>
        <w:tc>
          <w:tcPr>
            <w:tcW w:type="dxa" w:w="3324"/>
            <w:shd w:fill="E2EFDA" w:val="clear"/>
          </w:tcPr>
          <w:p>
            <w:pPr>
              <w:spacing w:after="0"/>
            </w:pPr>
            <w:r/>
            <w:r>
              <w:rPr>
                <w:b w:val="0"/>
                <w:i w:val="0"/>
                <w:sz w:val="16"/>
              </w:rPr>
              <w:t>GL_MASTER</w:t>
            </w:r>
          </w:p>
        </w:tc>
        <w:tc>
          <w:tcPr>
            <w:tcW w:type="dxa" w:w="3324"/>
          </w:tcPr>
          <w:p>
            <w:pPr>
              <w:spacing w:after="0"/>
            </w:pPr>
            <w:r/>
            <w:r>
              <w:rPr>
                <w:b w:val="0"/>
                <w:i w:val="0"/>
                <w:sz w:val="16"/>
              </w:rPr>
              <w:t>GL</w:t>
            </w:r>
          </w:p>
        </w:tc>
        <w:tc>
          <w:tcPr>
            <w:tcW w:type="dxa" w:w="3324"/>
          </w:tcPr>
          <w:p>
            <w:pPr>
              <w:spacing w:after="0"/>
            </w:pPr>
            <w:r/>
            <w:r>
              <w:rPr>
                <w:b w:val="0"/>
                <w:i w:val="0"/>
                <w:sz w:val="16"/>
              </w:rPr>
              <w:t>Chart of accounts master — sourced from Oracle ERP</w:t>
            </w:r>
          </w:p>
        </w:tc>
      </w:tr>
      <w:tr>
        <w:tc>
          <w:tcPr>
            <w:tcW w:type="dxa" w:w="3324"/>
            <w:shd w:fill="E2EFDA" w:val="clear"/>
          </w:tcPr>
          <w:p>
            <w:pPr>
              <w:spacing w:after="0"/>
            </w:pPr>
            <w:r/>
            <w:r>
              <w:rPr>
                <w:b w:val="0"/>
                <w:i w:val="0"/>
                <w:sz w:val="16"/>
              </w:rPr>
              <w:t>GL_TRANSACTIONS</w:t>
            </w:r>
          </w:p>
        </w:tc>
        <w:tc>
          <w:tcPr>
            <w:tcW w:type="dxa" w:w="3324"/>
          </w:tcPr>
          <w:p>
            <w:pPr>
              <w:spacing w:after="0"/>
            </w:pPr>
            <w:r/>
            <w:r>
              <w:rPr>
                <w:b w:val="0"/>
                <w:i w:val="0"/>
                <w:sz w:val="16"/>
              </w:rPr>
              <w:t>GL</w:t>
            </w:r>
          </w:p>
        </w:tc>
        <w:tc>
          <w:tcPr>
            <w:tcW w:type="dxa" w:w="3324"/>
          </w:tcPr>
          <w:p>
            <w:pPr>
              <w:spacing w:after="0"/>
            </w:pPr>
            <w:r/>
            <w:r>
              <w:rPr>
                <w:b w:val="0"/>
                <w:i w:val="0"/>
                <w:sz w:val="16"/>
              </w:rPr>
              <w:t>Individual journal entries — sourced from GL system (needs expansion)</w:t>
            </w:r>
          </w:p>
        </w:tc>
      </w:tr>
      <w:tr>
        <w:tc>
          <w:tcPr>
            <w:tcW w:type="dxa" w:w="3324"/>
            <w:shd w:fill="E2EFDA" w:val="clear"/>
          </w:tcPr>
          <w:p>
            <w:pPr>
              <w:spacing w:after="0"/>
            </w:pPr>
            <w:r/>
            <w:r>
              <w:rPr>
                <w:b w:val="0"/>
                <w:i w:val="0"/>
                <w:sz w:val="16"/>
              </w:rPr>
              <w:t>CASA Transaction (Statement Data)</w:t>
            </w:r>
          </w:p>
        </w:tc>
        <w:tc>
          <w:tcPr>
            <w:tcW w:type="dxa" w:w="3324"/>
          </w:tcPr>
          <w:p>
            <w:pPr>
              <w:spacing w:after="0"/>
            </w:pPr>
            <w:r/>
            <w:r>
              <w:rPr>
                <w:b w:val="0"/>
                <w:i w:val="0"/>
                <w:sz w:val="16"/>
              </w:rPr>
              <w:t>CASA</w:t>
            </w:r>
          </w:p>
        </w:tc>
        <w:tc>
          <w:tcPr>
            <w:tcW w:type="dxa" w:w="3324"/>
          </w:tcPr>
          <w:p>
            <w:pPr>
              <w:spacing w:after="0"/>
            </w:pPr>
            <w:r/>
            <w:r>
              <w:rPr>
                <w:b w:val="0"/>
                <w:i w:val="0"/>
                <w:sz w:val="16"/>
              </w:rPr>
              <w:t>Individual transaction records from Finacle — correctly sourced</w:t>
            </w:r>
          </w:p>
        </w:tc>
      </w:tr>
      <w:tr>
        <w:tc>
          <w:tcPr>
            <w:tcW w:type="dxa" w:w="3324"/>
            <w:shd w:fill="E2EFDA" w:val="clear"/>
          </w:tcPr>
          <w:p>
            <w:pPr>
              <w:spacing w:after="0"/>
            </w:pPr>
            <w:r/>
            <w:r>
              <w:rPr>
                <w:b w:val="0"/>
                <w:i w:val="0"/>
                <w:sz w:val="16"/>
              </w:rPr>
              <w:t>Customer_AML_KYC_Profile (Psychographics)</w:t>
            </w:r>
          </w:p>
        </w:tc>
        <w:tc>
          <w:tcPr>
            <w:tcW w:type="dxa" w:w="3324"/>
          </w:tcPr>
          <w:p>
            <w:pPr>
              <w:spacing w:after="0"/>
            </w:pPr>
            <w:r/>
            <w:r>
              <w:rPr>
                <w:b w:val="0"/>
                <w:i w:val="0"/>
                <w:sz w:val="16"/>
              </w:rPr>
              <w:t>Customer</w:t>
            </w:r>
          </w:p>
        </w:tc>
        <w:tc>
          <w:tcPr>
            <w:tcW w:type="dxa" w:w="3324"/>
          </w:tcPr>
          <w:p>
            <w:pPr>
              <w:spacing w:after="0"/>
            </w:pPr>
            <w:r/>
            <w:r>
              <w:rPr>
                <w:b w:val="0"/>
                <w:i w:val="0"/>
                <w:sz w:val="16"/>
              </w:rPr>
              <w:t>KYC profile attributes sourced from onboarding system — raw data</w:t>
            </w:r>
          </w:p>
        </w:tc>
      </w:tr>
      <w:tr>
        <w:tc>
          <w:tcPr>
            <w:tcW w:type="dxa" w:w="3324"/>
            <w:shd w:fill="E2EFDA" w:val="clear"/>
          </w:tcPr>
          <w:p>
            <w:pPr>
              <w:spacing w:after="0"/>
            </w:pPr>
            <w:r/>
            <w:r>
              <w:rPr>
                <w:b w:val="0"/>
                <w:i w:val="0"/>
                <w:sz w:val="16"/>
              </w:rPr>
              <w:t>BANK_ASSETS</w:t>
            </w:r>
          </w:p>
        </w:tc>
        <w:tc>
          <w:tcPr>
            <w:tcW w:type="dxa" w:w="3324"/>
          </w:tcPr>
          <w:p>
            <w:pPr>
              <w:spacing w:after="0"/>
            </w:pPr>
            <w:r/>
            <w:r>
              <w:rPr>
                <w:b w:val="0"/>
                <w:i w:val="0"/>
                <w:sz w:val="16"/>
              </w:rPr>
              <w:t>Bank Asset</w:t>
            </w:r>
          </w:p>
        </w:tc>
        <w:tc>
          <w:tcPr>
            <w:tcW w:type="dxa" w:w="3324"/>
          </w:tcPr>
          <w:p>
            <w:pPr>
              <w:spacing w:after="0"/>
            </w:pPr>
            <w:r/>
            <w:r>
              <w:rPr>
                <w:b w:val="0"/>
                <w:i w:val="0"/>
                <w:sz w:val="16"/>
              </w:rPr>
              <w:t>Individual asset records with UAECB classification — sourced data</w:t>
            </w:r>
          </w:p>
        </w:tc>
      </w:tr>
      <w:tr>
        <w:tc>
          <w:tcPr>
            <w:tcW w:type="dxa" w:w="3324"/>
            <w:shd w:fill="E2EFDA" w:val="clear"/>
          </w:tcPr>
          <w:p>
            <w:pPr>
              <w:spacing w:after="0"/>
            </w:pPr>
            <w:r/>
            <w:r>
              <w:rPr>
                <w:b w:val="0"/>
                <w:i w:val="0"/>
                <w:sz w:val="16"/>
              </w:rPr>
              <w:t>Risk Incident (core)</w:t>
            </w:r>
          </w:p>
        </w:tc>
        <w:tc>
          <w:tcPr>
            <w:tcW w:type="dxa" w:w="3324"/>
          </w:tcPr>
          <w:p>
            <w:pPr>
              <w:spacing w:after="0"/>
            </w:pPr>
            <w:r/>
            <w:r>
              <w:rPr>
                <w:b w:val="0"/>
                <w:i w:val="0"/>
                <w:sz w:val="16"/>
              </w:rPr>
              <w:t>ORM</w:t>
            </w:r>
          </w:p>
        </w:tc>
        <w:tc>
          <w:tcPr>
            <w:tcW w:type="dxa" w:w="3324"/>
          </w:tcPr>
          <w:p>
            <w:pPr>
              <w:spacing w:after="0"/>
            </w:pPr>
            <w:r/>
            <w:r>
              <w:rPr>
                <w:b w:val="0"/>
                <w:i w:val="0"/>
                <w:sz w:val="16"/>
              </w:rPr>
              <w:t>Individual risk incident records — sourced operational data</w:t>
            </w:r>
          </w:p>
        </w:tc>
      </w:tr>
      <w:tr>
        <w:tc>
          <w:tcPr>
            <w:tcW w:type="dxa" w:w="3324"/>
            <w:shd w:fill="E2EFDA" w:val="clear"/>
          </w:tcPr>
          <w:p>
            <w:pPr>
              <w:spacing w:after="0"/>
            </w:pPr>
            <w:r/>
            <w:r>
              <w:rPr>
                <w:b w:val="0"/>
                <w:i w:val="0"/>
                <w:sz w:val="16"/>
              </w:rPr>
              <w:t>Loss Data Collection</w:t>
            </w:r>
          </w:p>
        </w:tc>
        <w:tc>
          <w:tcPr>
            <w:tcW w:type="dxa" w:w="3324"/>
          </w:tcPr>
          <w:p>
            <w:pPr>
              <w:spacing w:after="0"/>
            </w:pPr>
            <w:r/>
            <w:r>
              <w:rPr>
                <w:b w:val="0"/>
                <w:i w:val="0"/>
                <w:sz w:val="16"/>
              </w:rPr>
              <w:t>ORM</w:t>
            </w:r>
          </w:p>
        </w:tc>
        <w:tc>
          <w:tcPr>
            <w:tcW w:type="dxa" w:w="3324"/>
          </w:tcPr>
          <w:p>
            <w:pPr>
              <w:spacing w:after="0"/>
            </w:pPr>
            <w:r/>
            <w:r>
              <w:rPr>
                <w:b w:val="0"/>
                <w:i w:val="0"/>
                <w:sz w:val="16"/>
              </w:rPr>
              <w:t>Operational loss event records — Basel III input data for AMA</w:t>
            </w:r>
          </w:p>
        </w:tc>
      </w:tr>
    </w:tbl>
    <w:p/>
    <w:p>
      <w:pPr>
        <w:pStyle w:val="Heading2"/>
      </w:pPr>
      <w:r>
        <w:t>4.4 Attribute-Level Silver vs Gold Misclassification</w:t>
      </w:r>
    </w:p>
    <w:p>
      <w:r>
        <w:t>Beyond entity-level misplacement, some attributes within correctly-placed Silver entities contain Gold-layer content. The following table illustrates key examples of misclassified attributes.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1F3864" w:val="clear"/>
          </w:tcPr>
          <w:p>
            <w:pPr>
              <w:spacing w:after="0"/>
            </w:pPr>
            <w:r/>
            <w:r>
              <w:rPr>
                <w:b/>
                <w:i w:val="0"/>
                <w:color w:val="FFFFFF"/>
                <w:sz w:val="16"/>
              </w:rPr>
              <w:t>Entity</w:t>
            </w:r>
          </w:p>
        </w:tc>
        <w:tc>
          <w:tcPr>
            <w:tcW w:type="dxa" w:w="1994"/>
            <w:shd w:fill="1F3864" w:val="clear"/>
          </w:tcPr>
          <w:p>
            <w:pPr>
              <w:spacing w:after="0"/>
            </w:pPr>
            <w:r/>
            <w:r>
              <w:rPr>
                <w:b/>
                <w:i w:val="0"/>
                <w:color w:val="FFFFFF"/>
                <w:sz w:val="16"/>
              </w:rPr>
              <w:t>Subject Area</w:t>
            </w:r>
          </w:p>
        </w:tc>
        <w:tc>
          <w:tcPr>
            <w:tcW w:type="dxa" w:w="1994"/>
            <w:shd w:fill="1F3864" w:val="clear"/>
          </w:tcPr>
          <w:p>
            <w:pPr>
              <w:spacing w:after="0"/>
            </w:pPr>
            <w:r/>
            <w:r>
              <w:rPr>
                <w:b/>
                <w:i w:val="0"/>
                <w:color w:val="FFFFFF"/>
                <w:sz w:val="16"/>
              </w:rPr>
              <w:t>Attribute</w:t>
            </w:r>
          </w:p>
        </w:tc>
        <w:tc>
          <w:tcPr>
            <w:tcW w:type="dxa" w:w="1994"/>
            <w:shd w:fill="1F3864" w:val="clear"/>
          </w:tcPr>
          <w:p>
            <w:pPr>
              <w:spacing w:after="0"/>
            </w:pPr>
            <w:r/>
            <w:r>
              <w:rPr>
                <w:b/>
                <w:i w:val="0"/>
                <w:color w:val="FFFFFF"/>
                <w:sz w:val="16"/>
              </w:rPr>
              <w:t>Classification</w:t>
            </w:r>
          </w:p>
        </w:tc>
        <w:tc>
          <w:tcPr>
            <w:tcW w:type="dxa" w:w="1994"/>
            <w:shd w:fill="1F3864" w:val="clear"/>
          </w:tcPr>
          <w:p>
            <w:pPr>
              <w:spacing w:after="0"/>
            </w:pPr>
            <w:r/>
            <w:r>
              <w:rPr>
                <w:b/>
                <w:i w:val="0"/>
                <w:color w:val="FFFFFF"/>
                <w:sz w:val="16"/>
              </w:rPr>
              <w:t>Correct Layer / Action</w:t>
            </w:r>
          </w:p>
        </w:tc>
      </w:tr>
      <w:tr>
        <w:tc>
          <w:tcPr>
            <w:tcW w:type="dxa" w:w="1994"/>
          </w:tcPr>
          <w:p>
            <w:pPr>
              <w:spacing w:after="0"/>
            </w:pPr>
            <w:r/>
            <w:r>
              <w:rPr>
                <w:b w:val="0"/>
                <w:i w:val="0"/>
                <w:sz w:val="16"/>
              </w:rPr>
              <w:t>Credit_Card_Account</w:t>
            </w:r>
          </w:p>
        </w:tc>
        <w:tc>
          <w:tcPr>
            <w:tcW w:type="dxa" w:w="1994"/>
          </w:tcPr>
          <w:p>
            <w:pPr>
              <w:spacing w:after="0"/>
            </w:pPr>
            <w:r/>
            <w:r>
              <w:rPr>
                <w:b w:val="0"/>
                <w:i w:val="0"/>
                <w:sz w:val="16"/>
              </w:rPr>
              <w:t>CreditCard</w:t>
            </w:r>
          </w:p>
        </w:tc>
        <w:tc>
          <w:tcPr>
            <w:tcW w:type="dxa" w:w="1994"/>
          </w:tcPr>
          <w:p>
            <w:pPr>
              <w:spacing w:after="0"/>
            </w:pPr>
            <w:r/>
            <w:r>
              <w:rPr>
                <w:b w:val="0"/>
                <w:i w:val="0"/>
                <w:sz w:val="16"/>
              </w:rPr>
              <w:t>Points balance</w:t>
            </w:r>
          </w:p>
        </w:tc>
        <w:tc>
          <w:tcPr>
            <w:tcW w:type="dxa" w:w="1994"/>
            <w:shd w:fill="FFE699" w:val="clear"/>
          </w:tcPr>
          <w:p>
            <w:pPr>
              <w:spacing w:after="0"/>
            </w:pPr>
            <w:r/>
            <w:r>
              <w:rPr>
                <w:b/>
                <w:i w:val="0"/>
                <w:sz w:val="16"/>
              </w:rPr>
              <w:t>BORDERLINE</w:t>
            </w:r>
          </w:p>
        </w:tc>
        <w:tc>
          <w:tcPr>
            <w:tcW w:type="dxa" w:w="1994"/>
          </w:tcPr>
          <w:p>
            <w:pPr>
              <w:spacing w:after="0"/>
            </w:pPr>
            <w:r/>
            <w:r>
              <w:rPr>
                <w:b w:val="0"/>
                <w:i w:val="0"/>
                <w:sz w:val="16"/>
              </w:rPr>
              <w:t>Silver if sourced from card system. Gold if computed by the platform from transaction accumulation.</w:t>
            </w:r>
          </w:p>
        </w:tc>
      </w:tr>
      <w:tr>
        <w:tc>
          <w:tcPr>
            <w:tcW w:type="dxa" w:w="1994"/>
          </w:tcPr>
          <w:p>
            <w:pPr>
              <w:spacing w:after="0"/>
            </w:pPr>
            <w:r/>
            <w:r>
              <w:rPr>
                <w:b w:val="0"/>
                <w:i w:val="0"/>
                <w:sz w:val="16"/>
              </w:rPr>
              <w:t>Loan_Account</w:t>
            </w:r>
          </w:p>
        </w:tc>
        <w:tc>
          <w:tcPr>
            <w:tcW w:type="dxa" w:w="1994"/>
          </w:tcPr>
          <w:p>
            <w:pPr>
              <w:spacing w:after="0"/>
            </w:pPr>
            <w:r/>
            <w:r>
              <w:rPr>
                <w:b w:val="0"/>
                <w:i w:val="0"/>
                <w:sz w:val="16"/>
              </w:rPr>
              <w:t>Loan</w:t>
            </w:r>
          </w:p>
        </w:tc>
        <w:tc>
          <w:tcPr>
            <w:tcW w:type="dxa" w:w="1994"/>
          </w:tcPr>
          <w:p>
            <w:pPr>
              <w:spacing w:after="0"/>
            </w:pPr>
            <w:r/>
            <w:r>
              <w:rPr>
                <w:b w:val="0"/>
                <w:i w:val="0"/>
                <w:sz w:val="16"/>
              </w:rPr>
              <w:t>Account Score Value / Model run date</w:t>
            </w:r>
          </w:p>
        </w:tc>
        <w:tc>
          <w:tcPr>
            <w:tcW w:type="dxa" w:w="1994"/>
            <w:shd w:fill="FFE699" w:val="clear"/>
          </w:tcPr>
          <w:p>
            <w:pPr>
              <w:spacing w:after="0"/>
            </w:pPr>
            <w:r/>
            <w:r>
              <w:rPr>
                <w:b/>
                <w:i w:val="0"/>
                <w:sz w:val="16"/>
              </w:rPr>
              <w:t>BORDERLINE</w:t>
            </w:r>
          </w:p>
        </w:tc>
        <w:tc>
          <w:tcPr>
            <w:tcW w:type="dxa" w:w="1994"/>
          </w:tcPr>
          <w:p>
            <w:pPr>
              <w:spacing w:after="0"/>
            </w:pPr>
            <w:r/>
            <w:r>
              <w:rPr>
                <w:b w:val="0"/>
                <w:i w:val="0"/>
                <w:sz w:val="16"/>
              </w:rPr>
              <w:t>Silver if sourced from risk system as input. If computed by the platform, the score output belongs in Gold (Loan_Score_Output entity).</w:t>
            </w:r>
          </w:p>
        </w:tc>
      </w:tr>
      <w:tr>
        <w:tc>
          <w:tcPr>
            <w:tcW w:type="dxa" w:w="1994"/>
          </w:tcPr>
          <w:p>
            <w:pPr>
              <w:spacing w:after="0"/>
            </w:pPr>
            <w:r/>
            <w:r>
              <w:rPr>
                <w:b w:val="0"/>
                <w:i w:val="0"/>
                <w:sz w:val="16"/>
              </w:rPr>
              <w:t>Loan_Account</w:t>
            </w:r>
          </w:p>
        </w:tc>
        <w:tc>
          <w:tcPr>
            <w:tcW w:type="dxa" w:w="1994"/>
          </w:tcPr>
          <w:p>
            <w:pPr>
              <w:spacing w:after="0"/>
            </w:pPr>
            <w:r/>
            <w:r>
              <w:rPr>
                <w:b w:val="0"/>
                <w:i w:val="0"/>
                <w:sz w:val="16"/>
              </w:rPr>
              <w:t>Loan</w:t>
            </w:r>
          </w:p>
        </w:tc>
        <w:tc>
          <w:tcPr>
            <w:tcW w:type="dxa" w:w="1994"/>
          </w:tcPr>
          <w:p>
            <w:pPr>
              <w:spacing w:after="0"/>
            </w:pPr>
            <w:r/>
            <w:r>
              <w:rPr>
                <w:b w:val="0"/>
                <w:i w:val="0"/>
                <w:sz w:val="16"/>
              </w:rPr>
              <w:t>Account collection status code / Days past due count / Past due amount</w:t>
            </w:r>
          </w:p>
        </w:tc>
        <w:tc>
          <w:tcPr>
            <w:tcW w:type="dxa" w:w="1994"/>
            <w:shd w:fill="E2EFDA" w:val="clear"/>
          </w:tcPr>
          <w:p>
            <w:pPr>
              <w:spacing w:after="0"/>
            </w:pPr>
            <w:r/>
            <w:r>
              <w:rPr>
                <w:b/>
                <w:i w:val="0"/>
                <w:sz w:val="16"/>
              </w:rPr>
              <w:t>SILVER ✓</w:t>
            </w:r>
          </w:p>
        </w:tc>
        <w:tc>
          <w:tcPr>
            <w:tcW w:type="dxa" w:w="1994"/>
          </w:tcPr>
          <w:p>
            <w:pPr>
              <w:spacing w:after="0"/>
            </w:pPr>
            <w:r/>
            <w:r>
              <w:rPr>
                <w:b w:val="0"/>
                <w:i w:val="0"/>
                <w:sz w:val="16"/>
              </w:rPr>
              <w:t>Correctly Silver — these are sourced collection state attributes, not computed aggregates.</w:t>
            </w:r>
          </w:p>
        </w:tc>
      </w:tr>
      <w:tr>
        <w:tc>
          <w:tcPr>
            <w:tcW w:type="dxa" w:w="1994"/>
          </w:tcPr>
          <w:p>
            <w:pPr>
              <w:spacing w:after="0"/>
            </w:pPr>
            <w:r/>
            <w:r>
              <w:rPr>
                <w:b w:val="0"/>
                <w:i w:val="0"/>
                <w:sz w:val="16"/>
              </w:rPr>
              <w:t>Customer</w:t>
            </w:r>
          </w:p>
        </w:tc>
        <w:tc>
          <w:tcPr>
            <w:tcW w:type="dxa" w:w="1994"/>
          </w:tcPr>
          <w:p>
            <w:pPr>
              <w:spacing w:after="0"/>
            </w:pPr>
            <w:r/>
            <w:r>
              <w:rPr>
                <w:b w:val="0"/>
                <w:i w:val="0"/>
                <w:sz w:val="16"/>
              </w:rPr>
              <w:t>Customer</w:t>
            </w:r>
          </w:p>
        </w:tc>
        <w:tc>
          <w:tcPr>
            <w:tcW w:type="dxa" w:w="1994"/>
          </w:tcPr>
          <w:p>
            <w:pPr>
              <w:spacing w:after="0"/>
            </w:pPr>
            <w:r/>
            <w:r>
              <w:rPr>
                <w:b w:val="0"/>
                <w:i w:val="0"/>
                <w:sz w:val="16"/>
              </w:rPr>
              <w:t>Overall Blacklisted Status / Overall Negated Status</w:t>
            </w:r>
          </w:p>
        </w:tc>
        <w:tc>
          <w:tcPr>
            <w:tcW w:type="dxa" w:w="1994"/>
            <w:shd w:fill="FFE699" w:val="clear"/>
          </w:tcPr>
          <w:p>
            <w:pPr>
              <w:spacing w:after="0"/>
            </w:pPr>
            <w:r/>
            <w:r>
              <w:rPr>
                <w:b/>
                <w:i w:val="0"/>
                <w:sz w:val="16"/>
              </w:rPr>
              <w:t>BORDERLINE</w:t>
            </w:r>
          </w:p>
        </w:tc>
        <w:tc>
          <w:tcPr>
            <w:tcW w:type="dxa" w:w="1994"/>
          </w:tcPr>
          <w:p>
            <w:pPr>
              <w:spacing w:after="0"/>
            </w:pPr>
            <w:r/>
            <w:r>
              <w:rPr>
                <w:b w:val="0"/>
                <w:i w:val="0"/>
                <w:sz w:val="16"/>
              </w:rPr>
              <w:t>Derived from Customer_Relationships screening — if computed by aggregating child records, it is a Gold attribute. Should be sourced directly from AML system.</w:t>
            </w:r>
          </w:p>
        </w:tc>
      </w:tr>
      <w:tr>
        <w:tc>
          <w:tcPr>
            <w:tcW w:type="dxa" w:w="1994"/>
          </w:tcPr>
          <w:p>
            <w:pPr>
              <w:spacing w:after="0"/>
            </w:pPr>
            <w:r/>
            <w:r>
              <w:rPr>
                <w:b w:val="0"/>
                <w:i w:val="0"/>
                <w:sz w:val="16"/>
              </w:rPr>
              <w:t>Customer</w:t>
            </w:r>
          </w:p>
        </w:tc>
        <w:tc>
          <w:tcPr>
            <w:tcW w:type="dxa" w:w="1994"/>
          </w:tcPr>
          <w:p>
            <w:pPr>
              <w:spacing w:after="0"/>
            </w:pPr>
            <w:r/>
            <w:r>
              <w:rPr>
                <w:b w:val="0"/>
                <w:i w:val="0"/>
                <w:sz w:val="16"/>
              </w:rPr>
              <w:t>Customer</w:t>
            </w:r>
          </w:p>
        </w:tc>
        <w:tc>
          <w:tcPr>
            <w:tcW w:type="dxa" w:w="1994"/>
          </w:tcPr>
          <w:p>
            <w:pPr>
              <w:spacing w:after="0"/>
            </w:pPr>
            <w:r/>
            <w:r>
              <w:rPr>
                <w:b w:val="0"/>
                <w:i w:val="0"/>
                <w:sz w:val="16"/>
              </w:rPr>
              <w:t>Alerts (field)</w:t>
            </w:r>
          </w:p>
        </w:tc>
        <w:tc>
          <w:tcPr>
            <w:tcW w:type="dxa" w:w="1994"/>
            <w:shd w:fill="FFB3B3" w:val="clear"/>
          </w:tcPr>
          <w:p>
            <w:pPr>
              <w:spacing w:after="0"/>
            </w:pPr>
            <w:r/>
            <w:r>
              <w:rPr>
                <w:b/>
                <w:i w:val="0"/>
                <w:sz w:val="16"/>
              </w:rPr>
              <w:t>GOLD_MISPLACED</w:t>
            </w:r>
          </w:p>
        </w:tc>
        <w:tc>
          <w:tcPr>
            <w:tcW w:type="dxa" w:w="1994"/>
          </w:tcPr>
          <w:p>
            <w:pPr>
              <w:spacing w:after="0"/>
            </w:pPr>
            <w:r/>
            <w:r>
              <w:rPr>
                <w:b w:val="0"/>
                <w:i w:val="0"/>
                <w:sz w:val="16"/>
              </w:rPr>
              <w:t>An "Alerts" field in a Silver entity is a Gold/operational concept. Silver should store the underlying data; Gold generates alert outputs.</w:t>
            </w:r>
          </w:p>
        </w:tc>
      </w:tr>
      <w:tr>
        <w:tc>
          <w:tcPr>
            <w:tcW w:type="dxa" w:w="1994"/>
          </w:tcPr>
          <w:p>
            <w:pPr>
              <w:spacing w:after="0"/>
            </w:pPr>
            <w:r/>
            <w:r>
              <w:rPr>
                <w:b w:val="0"/>
                <w:i w:val="0"/>
                <w:sz w:val="16"/>
              </w:rPr>
              <w:t>Credit_Card_Account</w:t>
            </w:r>
          </w:p>
        </w:tc>
        <w:tc>
          <w:tcPr>
            <w:tcW w:type="dxa" w:w="1994"/>
          </w:tcPr>
          <w:p>
            <w:pPr>
              <w:spacing w:after="0"/>
            </w:pPr>
            <w:r/>
            <w:r>
              <w:rPr>
                <w:b w:val="0"/>
                <w:i w:val="0"/>
                <w:sz w:val="16"/>
              </w:rPr>
              <w:t>CreditCard</w:t>
            </w:r>
          </w:p>
        </w:tc>
        <w:tc>
          <w:tcPr>
            <w:tcW w:type="dxa" w:w="1994"/>
          </w:tcPr>
          <w:p>
            <w:pPr>
              <w:spacing w:after="0"/>
            </w:pPr>
            <w:r/>
            <w:r>
              <w:rPr>
                <w:b w:val="0"/>
                <w:i w:val="0"/>
                <w:sz w:val="16"/>
              </w:rPr>
              <w:t>Behavior score</w:t>
            </w:r>
          </w:p>
        </w:tc>
        <w:tc>
          <w:tcPr>
            <w:tcW w:type="dxa" w:w="1994"/>
            <w:shd w:fill="FFE699" w:val="clear"/>
          </w:tcPr>
          <w:p>
            <w:pPr>
              <w:spacing w:after="0"/>
            </w:pPr>
            <w:r/>
            <w:r>
              <w:rPr>
                <w:b/>
                <w:i w:val="0"/>
                <w:sz w:val="16"/>
              </w:rPr>
              <w:t>BORDERLINE</w:t>
            </w:r>
          </w:p>
        </w:tc>
        <w:tc>
          <w:tcPr>
            <w:tcW w:type="dxa" w:w="1994"/>
          </w:tcPr>
          <w:p>
            <w:pPr>
              <w:spacing w:after="0"/>
            </w:pPr>
            <w:r/>
            <w:r>
              <w:rPr>
                <w:b w:val="0"/>
                <w:i w:val="0"/>
                <w:sz w:val="16"/>
              </w:rPr>
              <w:t>If sourced from card system as an input, Silver is correct. If computed by the platform, move output to Gold.</w:t>
            </w:r>
          </w:p>
        </w:tc>
      </w:tr>
      <w:tr>
        <w:tc>
          <w:tcPr>
            <w:tcW w:type="dxa" w:w="1994"/>
          </w:tcPr>
          <w:p>
            <w:pPr>
              <w:spacing w:after="0"/>
            </w:pPr>
            <w:r/>
            <w:r>
              <w:rPr>
                <w:b w:val="0"/>
                <w:i w:val="0"/>
                <w:sz w:val="16"/>
              </w:rPr>
              <w:t>Customer_CollectionSummary</w:t>
            </w:r>
          </w:p>
        </w:tc>
        <w:tc>
          <w:tcPr>
            <w:tcW w:type="dxa" w:w="1994"/>
          </w:tcPr>
          <w:p>
            <w:pPr>
              <w:spacing w:after="0"/>
            </w:pPr>
            <w:r/>
            <w:r>
              <w:rPr>
                <w:b w:val="0"/>
                <w:i w:val="0"/>
                <w:sz w:val="16"/>
              </w:rPr>
              <w:t>Cust Risk</w:t>
            </w:r>
          </w:p>
        </w:tc>
        <w:tc>
          <w:tcPr>
            <w:tcW w:type="dxa" w:w="1994"/>
          </w:tcPr>
          <w:p>
            <w:pPr>
              <w:spacing w:after="0"/>
            </w:pPr>
            <w:r/>
            <w:r>
              <w:rPr>
                <w:b w:val="0"/>
                <w:i w:val="0"/>
                <w:sz w:val="16"/>
              </w:rPr>
              <w:t>All attributes</w:t>
            </w:r>
          </w:p>
        </w:tc>
        <w:tc>
          <w:tcPr>
            <w:tcW w:type="dxa" w:w="1994"/>
            <w:shd w:fill="FFF2CC" w:val="clear"/>
          </w:tcPr>
          <w:p>
            <w:pPr>
              <w:spacing w:after="0"/>
            </w:pPr>
            <w:r/>
            <w:r>
              <w:rPr>
                <w:b/>
                <w:i w:val="0"/>
                <w:sz w:val="16"/>
              </w:rPr>
              <w:t>POTENTIAL GOLD</w:t>
            </w:r>
          </w:p>
        </w:tc>
        <w:tc>
          <w:tcPr>
            <w:tcW w:type="dxa" w:w="1994"/>
          </w:tcPr>
          <w:p>
            <w:pPr>
              <w:spacing w:after="0"/>
            </w:pPr>
            <w:r/>
            <w:r>
              <w:rPr>
                <w:b w:val="0"/>
                <w:i w:val="0"/>
                <w:sz w:val="16"/>
              </w:rPr>
              <w:t>Collection summary implies aggregation. If it summarises collection activities, it should be a Gold entity or view.</w:t>
            </w:r>
          </w:p>
        </w:tc>
      </w:tr>
      <w:tr>
        <w:tc>
          <w:tcPr>
            <w:tcW w:type="dxa" w:w="1994"/>
          </w:tcPr>
          <w:p>
            <w:pPr>
              <w:spacing w:after="0"/>
            </w:pPr>
            <w:r/>
            <w:r>
              <w:rPr>
                <w:b w:val="0"/>
                <w:i w:val="0"/>
                <w:sz w:val="16"/>
              </w:rPr>
              <w:t>Account_Balance_Summary_DD</w:t>
            </w:r>
          </w:p>
        </w:tc>
        <w:tc>
          <w:tcPr>
            <w:tcW w:type="dxa" w:w="1994"/>
          </w:tcPr>
          <w:p>
            <w:pPr>
              <w:spacing w:after="0"/>
            </w:pPr>
            <w:r/>
            <w:r>
              <w:rPr>
                <w:b w:val="0"/>
                <w:i w:val="0"/>
                <w:sz w:val="16"/>
              </w:rPr>
              <w:t>Account</w:t>
            </w:r>
          </w:p>
        </w:tc>
        <w:tc>
          <w:tcPr>
            <w:tcW w:type="dxa" w:w="1994"/>
          </w:tcPr>
          <w:p>
            <w:pPr>
              <w:spacing w:after="0"/>
            </w:pPr>
            <w:r/>
            <w:r>
              <w:rPr>
                <w:b w:val="0"/>
                <w:i w:val="0"/>
                <w:sz w:val="16"/>
              </w:rPr>
              <w:t>All balance summary attributes</w:t>
            </w:r>
          </w:p>
        </w:tc>
        <w:tc>
          <w:tcPr>
            <w:tcW w:type="dxa" w:w="1994"/>
            <w:shd w:fill="FFF2CC" w:val="clear"/>
          </w:tcPr>
          <w:p>
            <w:pPr>
              <w:spacing w:after="0"/>
            </w:pPr>
            <w:r/>
            <w:r>
              <w:rPr>
                <w:b/>
                <w:i w:val="0"/>
                <w:sz w:val="16"/>
              </w:rPr>
              <w:t>POTENTIAL GOLD</w:t>
            </w:r>
          </w:p>
        </w:tc>
        <w:tc>
          <w:tcPr>
            <w:tcW w:type="dxa" w:w="1994"/>
          </w:tcPr>
          <w:p>
            <w:pPr>
              <w:spacing w:after="0"/>
            </w:pPr>
            <w:r/>
            <w:r>
              <w:rPr>
                <w:b w:val="0"/>
                <w:i w:val="0"/>
                <w:sz w:val="16"/>
              </w:rPr>
              <w:t>Daily balance summaries are typically Gold layer pre-aggregations. Validate if this is a point-in-time sourced snapshot or a computed aggregate.</w:t>
            </w:r>
          </w:p>
        </w:tc>
      </w:tr>
      <w:tr>
        <w:tc>
          <w:tcPr>
            <w:tcW w:type="dxa" w:w="1994"/>
          </w:tcPr>
          <w:p>
            <w:pPr>
              <w:spacing w:after="0"/>
            </w:pPr>
            <w:r/>
            <w:r>
              <w:rPr>
                <w:b w:val="0"/>
                <w:i w:val="0"/>
                <w:sz w:val="16"/>
              </w:rPr>
              <w:t>ORM — Risk Incident Table</w:t>
            </w:r>
          </w:p>
        </w:tc>
        <w:tc>
          <w:tcPr>
            <w:tcW w:type="dxa" w:w="1994"/>
          </w:tcPr>
          <w:p>
            <w:pPr>
              <w:spacing w:after="0"/>
            </w:pPr>
            <w:r/>
            <w:r>
              <w:rPr>
                <w:b w:val="0"/>
                <w:i w:val="0"/>
                <w:sz w:val="16"/>
              </w:rPr>
              <w:t>ORM</w:t>
            </w:r>
          </w:p>
        </w:tc>
        <w:tc>
          <w:tcPr>
            <w:tcW w:type="dxa" w:w="1994"/>
          </w:tcPr>
          <w:p>
            <w:pPr>
              <w:spacing w:after="0"/>
            </w:pPr>
            <w:r/>
            <w:r>
              <w:rPr>
                <w:b w:val="0"/>
                <w:i w:val="0"/>
                <w:sz w:val="16"/>
              </w:rPr>
              <w:t>Status (without history)</w:t>
            </w:r>
          </w:p>
        </w:tc>
        <w:tc>
          <w:tcPr>
            <w:tcW w:type="dxa" w:w="1994"/>
            <w:shd w:fill="E2EFDA" w:val="clear"/>
          </w:tcPr>
          <w:p>
            <w:pPr>
              <w:spacing w:after="0"/>
            </w:pPr>
            <w:r/>
            <w:r>
              <w:rPr>
                <w:b/>
                <w:i w:val="0"/>
                <w:sz w:val="16"/>
              </w:rPr>
              <w:t>SILVER ✓</w:t>
            </w:r>
          </w:p>
        </w:tc>
        <w:tc>
          <w:tcPr>
            <w:tcW w:type="dxa" w:w="1994"/>
          </w:tcPr>
          <w:p>
            <w:pPr>
              <w:spacing w:after="0"/>
            </w:pPr>
            <w:r/>
            <w:r>
              <w:rPr>
                <w:b w:val="0"/>
                <w:i w:val="0"/>
                <w:sz w:val="16"/>
              </w:rPr>
              <w:t>Current status is Silver. A status history pattern should be added (Risk_Incident_Status_History).</w:t>
            </w:r>
          </w:p>
        </w:tc>
      </w:tr>
    </w:tbl>
    <w:p>
      <w:r>
        <w:br w:type="page"/>
      </w:r>
    </w:p>
    <w:p>
      <w:pPr>
        <w:pStyle w:val="Heading1"/>
      </w:pPr>
      <w:r>
        <w:t>5. Normalisation and Denormalisation Assessment</w:t>
      </w:r>
    </w:p>
    <w:p>
      <w:r>
        <w:t>This section assesses whether the silver analytical model applies appropriate normalisation. The silver layer should generally be in 3rd Normal Form (3NF) for master data, with limited, deliberate denormalisation on high-volume transactional entities to reduce query-time joins. The following analysis identifies violations, acceptable denormalisations, and recommendations.</w:t>
      </w:r>
    </w:p>
    <w:p>
      <w:pPr>
        <w:pStyle w:val="Heading2"/>
      </w:pPr>
      <w:r>
        <w:t>5.1 Normalisation Violations Identified</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1F3864" w:val="clear"/>
          </w:tcPr>
          <w:p>
            <w:pPr>
              <w:spacing w:after="0"/>
            </w:pPr>
            <w:r/>
            <w:r>
              <w:rPr>
                <w:b/>
                <w:i w:val="0"/>
                <w:color w:val="FFFFFF"/>
                <w:sz w:val="16"/>
              </w:rPr>
              <w:t>Entity</w:t>
            </w:r>
          </w:p>
        </w:tc>
        <w:tc>
          <w:tcPr>
            <w:tcW w:type="dxa" w:w="1994"/>
            <w:shd w:fill="1F3864" w:val="clear"/>
          </w:tcPr>
          <w:p>
            <w:pPr>
              <w:spacing w:after="0"/>
            </w:pPr>
            <w:r/>
            <w:r>
              <w:rPr>
                <w:b/>
                <w:i w:val="0"/>
                <w:color w:val="FFFFFF"/>
                <w:sz w:val="16"/>
              </w:rPr>
              <w:t>Violation Type</w:t>
            </w:r>
          </w:p>
        </w:tc>
        <w:tc>
          <w:tcPr>
            <w:tcW w:type="dxa" w:w="1994"/>
            <w:shd w:fill="1F3864" w:val="clear"/>
          </w:tcPr>
          <w:p>
            <w:pPr>
              <w:spacing w:after="0"/>
            </w:pPr>
            <w:r/>
            <w:r>
              <w:rPr>
                <w:b/>
                <w:i w:val="0"/>
                <w:color w:val="FFFFFF"/>
                <w:sz w:val="16"/>
              </w:rPr>
              <w:t>Affected Attributes</w:t>
            </w:r>
          </w:p>
        </w:tc>
        <w:tc>
          <w:tcPr>
            <w:tcW w:type="dxa" w:w="1994"/>
            <w:shd w:fill="1F3864" w:val="clear"/>
          </w:tcPr>
          <w:p>
            <w:pPr>
              <w:spacing w:after="0"/>
            </w:pPr>
            <w:r/>
            <w:r>
              <w:rPr>
                <w:b/>
                <w:i w:val="0"/>
                <w:color w:val="FFFFFF"/>
                <w:sz w:val="16"/>
              </w:rPr>
              <w:t>Normal Form Broken</w:t>
            </w:r>
          </w:p>
        </w:tc>
        <w:tc>
          <w:tcPr>
            <w:tcW w:type="dxa" w:w="1994"/>
            <w:shd w:fill="1F3864" w:val="clear"/>
          </w:tcPr>
          <w:p>
            <w:pPr>
              <w:spacing w:after="0"/>
            </w:pPr>
            <w:r/>
            <w:r>
              <w:rPr>
                <w:b/>
                <w:i w:val="0"/>
                <w:color w:val="FFFFFF"/>
                <w:sz w:val="16"/>
              </w:rPr>
              <w:t>Resolution</w:t>
            </w:r>
          </w:p>
        </w:tc>
      </w:tr>
      <w:tr>
        <w:tc>
          <w:tcPr>
            <w:tcW w:type="dxa" w:w="1994"/>
          </w:tcPr>
          <w:p>
            <w:pPr>
              <w:spacing w:after="0"/>
            </w:pPr>
            <w:r/>
            <w:r>
              <w:rPr>
                <w:b/>
                <w:i w:val="0"/>
                <w:sz w:val="16"/>
              </w:rPr>
              <w:t>Customer (145 attrs)</w:t>
            </w:r>
          </w:p>
        </w:tc>
        <w:tc>
          <w:tcPr>
            <w:tcW w:type="dxa" w:w="1994"/>
            <w:shd w:fill="FCE4D6" w:val="clear"/>
          </w:tcPr>
          <w:p>
            <w:pPr>
              <w:spacing w:after="0"/>
            </w:pPr>
            <w:r/>
            <w:r>
              <w:rPr>
                <w:b/>
                <w:i w:val="0"/>
                <w:sz w:val="16"/>
              </w:rPr>
              <w:t>EMBEDDED FOREIGN OBJECT — Relationship Manager Details</w:t>
            </w:r>
          </w:p>
        </w:tc>
        <w:tc>
          <w:tcPr>
            <w:tcW w:type="dxa" w:w="1994"/>
          </w:tcPr>
          <w:p>
            <w:pPr>
              <w:spacing w:after="0"/>
            </w:pPr>
            <w:r/>
            <w:r>
              <w:rPr>
                <w:b w:val="0"/>
                <w:i w:val="0"/>
                <w:sz w:val="14"/>
              </w:rPr>
              <w:t>primary_rm_code, primary_rm_name, primary_rm_mobile, primary_rm_email, secondary_rm_code, secondary_rm_name, secondary_rm_mobile, secondary_rm_email, tertiary_rm_code, tertiary_rm_name, tertiary_rm_mobile, tertiary_rm_email, unit_head_name, unit_head_contact (14 attrs)</w:t>
            </w:r>
          </w:p>
        </w:tc>
        <w:tc>
          <w:tcPr>
            <w:tcW w:type="dxa" w:w="1994"/>
          </w:tcPr>
          <w:p>
            <w:pPr>
              <w:spacing w:after="0"/>
            </w:pPr>
            <w:r/>
            <w:r>
              <w:rPr>
                <w:b w:val="0"/>
                <w:i/>
                <w:sz w:val="16"/>
              </w:rPr>
              <w:t>2NF / 3NF — RM attributes depend on RM, not on Customer</w:t>
            </w:r>
          </w:p>
        </w:tc>
        <w:tc>
          <w:tcPr>
            <w:tcW w:type="dxa" w:w="1994"/>
          </w:tcPr>
          <w:p>
            <w:pPr>
              <w:spacing w:after="0"/>
            </w:pPr>
            <w:r/>
            <w:r>
              <w:rPr>
                <w:b w:val="0"/>
                <w:i w:val="0"/>
                <w:sz w:val="16"/>
              </w:rPr>
              <w:t>Create Relationship_Manager entity. Add primary_rm_id, secondary_rm_id, tertiary_rm_id as FKs on Customer. RM name/contact attributes live only in Relationship_Manager.</w:t>
            </w:r>
          </w:p>
        </w:tc>
      </w:tr>
      <w:tr>
        <w:tc>
          <w:tcPr>
            <w:tcW w:type="dxa" w:w="1994"/>
          </w:tcPr>
          <w:p>
            <w:pPr>
              <w:spacing w:after="0"/>
            </w:pPr>
            <w:r/>
            <w:r>
              <w:rPr>
                <w:b/>
                <w:i w:val="0"/>
                <w:sz w:val="16"/>
              </w:rPr>
              <w:t>Credit_Card_Account (79 attrs)</w:t>
            </w:r>
          </w:p>
        </w:tc>
        <w:tc>
          <w:tcPr>
            <w:tcW w:type="dxa" w:w="1994"/>
            <w:shd w:fill="FCE4D6" w:val="clear"/>
          </w:tcPr>
          <w:p>
            <w:pPr>
              <w:spacing w:after="0"/>
            </w:pPr>
            <w:r/>
            <w:r>
              <w:rPr>
                <w:b/>
                <w:i w:val="0"/>
                <w:sz w:val="16"/>
              </w:rPr>
              <w:t>REPEATING GROUPS — Arrears Buckets</w:t>
            </w:r>
          </w:p>
        </w:tc>
        <w:tc>
          <w:tcPr>
            <w:tcW w:type="dxa" w:w="1994"/>
          </w:tcPr>
          <w:p>
            <w:pPr>
              <w:spacing w:after="0"/>
            </w:pPr>
            <w:r/>
            <w:r>
              <w:rPr>
                <w:b w:val="0"/>
                <w:i w:val="0"/>
                <w:sz w:val="14"/>
              </w:rPr>
              <w:t>amount_in_arrears_1_period, amount_in_arrears_2_period, amount_in_arrears_3_period, amount_in_arrears_4_period, amount_in_arrears_5_period, amount_in_arrears_6_period, amount_in_arrears_7_period, amount_in_arrears_8_period</w:t>
            </w:r>
          </w:p>
        </w:tc>
        <w:tc>
          <w:tcPr>
            <w:tcW w:type="dxa" w:w="1994"/>
          </w:tcPr>
          <w:p>
            <w:pPr>
              <w:spacing w:after="0"/>
            </w:pPr>
            <w:r/>
            <w:r>
              <w:rPr>
                <w:b w:val="0"/>
                <w:i/>
                <w:sz w:val="16"/>
              </w:rPr>
              <w:t>1NF — Repeating groups violate atomicity</w:t>
            </w:r>
          </w:p>
        </w:tc>
        <w:tc>
          <w:tcPr>
            <w:tcW w:type="dxa" w:w="1994"/>
          </w:tcPr>
          <w:p>
            <w:pPr>
              <w:spacing w:after="0"/>
            </w:pPr>
            <w:r/>
            <w:r>
              <w:rPr>
                <w:b w:val="0"/>
                <w:i w:val="0"/>
                <w:sz w:val="16"/>
              </w:rPr>
              <w:t>Create Credit_Card_Arrears_Bucket child entity: (account_id, bucket_number, bucket_amount, as_of_date). This supports dynamic bucket counts and temporal queries.</w:t>
            </w:r>
          </w:p>
        </w:tc>
      </w:tr>
      <w:tr>
        <w:tc>
          <w:tcPr>
            <w:tcW w:type="dxa" w:w="1994"/>
          </w:tcPr>
          <w:p>
            <w:pPr>
              <w:spacing w:after="0"/>
            </w:pPr>
            <w:r/>
            <w:r>
              <w:rPr>
                <w:b/>
                <w:i w:val="0"/>
                <w:sz w:val="16"/>
              </w:rPr>
              <w:t>Credit_Card_Account (79 attrs)</w:t>
            </w:r>
          </w:p>
        </w:tc>
        <w:tc>
          <w:tcPr>
            <w:tcW w:type="dxa" w:w="1994"/>
            <w:shd w:fill="FCE4D6" w:val="clear"/>
          </w:tcPr>
          <w:p>
            <w:pPr>
              <w:spacing w:after="0"/>
            </w:pPr>
            <w:r/>
            <w:r>
              <w:rPr>
                <w:b/>
                <w:i w:val="0"/>
                <w:sz w:val="16"/>
              </w:rPr>
              <w:t>REPEATED TEMPORAL STATES — Multiple status/limit pairs</w:t>
            </w:r>
          </w:p>
        </w:tc>
        <w:tc>
          <w:tcPr>
            <w:tcW w:type="dxa" w:w="1994"/>
          </w:tcPr>
          <w:p>
            <w:pPr>
              <w:spacing w:after="0"/>
            </w:pPr>
            <w:r/>
            <w:r>
              <w:rPr>
                <w:b w:val="0"/>
                <w:i w:val="0"/>
                <w:sz w:val="14"/>
              </w:rPr>
              <w:t>temporary_credit_limit, account_permanent_credit_limit_amount, account_temporary_credit_limit_amount, current_credit_limit, permanent_credit_limit, current_credit_limit (6 credit limit fields); account_status_code + account_status_start_date, monitor_status_code, block_status_code + block_status_start_date (3 status fields)</w:t>
            </w:r>
          </w:p>
        </w:tc>
        <w:tc>
          <w:tcPr>
            <w:tcW w:type="dxa" w:w="1994"/>
          </w:tcPr>
          <w:p>
            <w:pPr>
              <w:spacing w:after="0"/>
            </w:pPr>
            <w:r/>
            <w:r>
              <w:rPr>
                <w:b w:val="0"/>
                <w:i/>
                <w:sz w:val="16"/>
              </w:rPr>
              <w:t>1NF / 2NF — Multiple limit/status fields suggest temporal history embedded in current-state entity</w:t>
            </w:r>
          </w:p>
        </w:tc>
        <w:tc>
          <w:tcPr>
            <w:tcW w:type="dxa" w:w="1994"/>
          </w:tcPr>
          <w:p>
            <w:pPr>
              <w:spacing w:after="0"/>
            </w:pPr>
            <w:r/>
            <w:r>
              <w:rPr>
                <w:b w:val="0"/>
                <w:i w:val="0"/>
                <w:sz w:val="16"/>
              </w:rPr>
              <w:t>Keep only current state limits in main entity. Move historical states to Credit_Card_Limit_History and Credit_Card_Status_History SCD Type 2 entities.</w:t>
            </w:r>
          </w:p>
        </w:tc>
      </w:tr>
      <w:tr>
        <w:tc>
          <w:tcPr>
            <w:tcW w:type="dxa" w:w="1994"/>
          </w:tcPr>
          <w:p>
            <w:pPr>
              <w:spacing w:after="0"/>
            </w:pPr>
            <w:r/>
            <w:r>
              <w:rPr>
                <w:b/>
                <w:i w:val="0"/>
                <w:sz w:val="16"/>
              </w:rPr>
              <w:t>Application_Customer (62 attrs)</w:t>
            </w:r>
          </w:p>
        </w:tc>
        <w:tc>
          <w:tcPr>
            <w:tcW w:type="dxa" w:w="1994"/>
            <w:shd w:fill="FCE4D6" w:val="clear"/>
          </w:tcPr>
          <w:p>
            <w:pPr>
              <w:spacing w:after="0"/>
            </w:pPr>
            <w:r/>
            <w:r>
              <w:rPr>
                <w:b/>
                <w:i w:val="0"/>
                <w:sz w:val="16"/>
              </w:rPr>
              <w:t>DUPLICATED CUSTOMER ATTRIBUTES</w:t>
            </w:r>
          </w:p>
        </w:tc>
        <w:tc>
          <w:tcPr>
            <w:tcW w:type="dxa" w:w="1994"/>
          </w:tcPr>
          <w:p>
            <w:pPr>
              <w:spacing w:after="0"/>
            </w:pPr>
            <w:r/>
            <w:r>
              <w:rPr>
                <w:b w:val="0"/>
                <w:i w:val="0"/>
                <w:sz w:val="14"/>
              </w:rPr>
              <w:t>Captures customer name, nationality, DOB, income, employment — many of these duplicate Customer entity attributes as an application-time snapshot</w:t>
            </w:r>
          </w:p>
        </w:tc>
        <w:tc>
          <w:tcPr>
            <w:tcW w:type="dxa" w:w="1994"/>
          </w:tcPr>
          <w:p>
            <w:pPr>
              <w:spacing w:after="0"/>
            </w:pPr>
            <w:r/>
            <w:r>
              <w:rPr>
                <w:b w:val="0"/>
                <w:i/>
                <w:sz w:val="16"/>
              </w:rPr>
              <w:t>3NF — Transitive dependency: Application → Application_Customer → Customer</w:t>
            </w:r>
          </w:p>
        </w:tc>
        <w:tc>
          <w:tcPr>
            <w:tcW w:type="dxa" w:w="1994"/>
          </w:tcPr>
          <w:p>
            <w:pPr>
              <w:spacing w:after="0"/>
            </w:pPr>
            <w:r/>
            <w:r>
              <w:rPr>
                <w:b w:val="0"/>
                <w:i w:val="0"/>
                <w:sz w:val="16"/>
              </w:rPr>
              <w:t>Acceptable as an intentional snapshot of application-time customer state (regulatory requirement). Document explicitly that this is a point-in-time snapshot, not the current customer record. Add FK to Customer entity.</w:t>
            </w:r>
          </w:p>
        </w:tc>
      </w:tr>
      <w:tr>
        <w:tc>
          <w:tcPr>
            <w:tcW w:type="dxa" w:w="1994"/>
          </w:tcPr>
          <w:p>
            <w:pPr>
              <w:spacing w:after="0"/>
            </w:pPr>
            <w:r/>
            <w:r>
              <w:rPr>
                <w:b/>
                <w:i w:val="0"/>
                <w:sz w:val="16"/>
              </w:rPr>
              <w:t>Customer_Relationships (40 attrs)</w:t>
            </w:r>
          </w:p>
        </w:tc>
        <w:tc>
          <w:tcPr>
            <w:tcW w:type="dxa" w:w="1994"/>
            <w:shd w:fill="FCE4D6" w:val="clear"/>
          </w:tcPr>
          <w:p>
            <w:pPr>
              <w:spacing w:after="0"/>
            </w:pPr>
            <w:r/>
            <w:r>
              <w:rPr>
                <w:b/>
                <w:i w:val="0"/>
                <w:sz w:val="16"/>
              </w:rPr>
              <w:t>PARTIALLY EMBEDDED PERSON DATA</w:t>
            </w:r>
          </w:p>
        </w:tc>
        <w:tc>
          <w:tcPr>
            <w:tcW w:type="dxa" w:w="1994"/>
          </w:tcPr>
          <w:p>
            <w:pPr>
              <w:spacing w:after="0"/>
            </w:pPr>
            <w:r/>
            <w:r>
              <w:rPr>
                <w:b w:val="0"/>
                <w:i w:val="0"/>
                <w:sz w:val="14"/>
              </w:rPr>
              <w:t>full_name, gender, title, passport_no, nationality, nationality_code, date_of_birth — person-level attributes embedded in the relationship entity</w:t>
            </w:r>
          </w:p>
        </w:tc>
        <w:tc>
          <w:tcPr>
            <w:tcW w:type="dxa" w:w="1994"/>
          </w:tcPr>
          <w:p>
            <w:pPr>
              <w:spacing w:after="0"/>
            </w:pPr>
            <w:r/>
            <w:r>
              <w:rPr>
                <w:b w:val="0"/>
                <w:i/>
                <w:sz w:val="16"/>
              </w:rPr>
              <w:t>3NF — Person attributes depend on the related person entity, not on the relationship</w:t>
            </w:r>
          </w:p>
        </w:tc>
        <w:tc>
          <w:tcPr>
            <w:tcW w:type="dxa" w:w="1994"/>
          </w:tcPr>
          <w:p>
            <w:pPr>
              <w:spacing w:after="0"/>
            </w:pPr>
            <w:r/>
            <w:r>
              <w:rPr>
                <w:b w:val="0"/>
                <w:i w:val="0"/>
                <w:sz w:val="16"/>
              </w:rPr>
              <w:t>Create a lightweight Related_Party entity (individual or organisation). Customer_Relationships then references (customer_id, related_party_id, relationship_type, effective dates).</w:t>
            </w:r>
          </w:p>
        </w:tc>
      </w:tr>
      <w:tr>
        <w:tc>
          <w:tcPr>
            <w:tcW w:type="dxa" w:w="1994"/>
          </w:tcPr>
          <w:p>
            <w:pPr>
              <w:spacing w:after="0"/>
            </w:pPr>
            <w:r/>
            <w:r>
              <w:rPr>
                <w:b/>
                <w:i w:val="0"/>
                <w:sz w:val="16"/>
              </w:rPr>
              <w:t>GL_MASTER (15 attrs)</w:t>
            </w:r>
          </w:p>
        </w:tc>
        <w:tc>
          <w:tcPr>
            <w:tcW w:type="dxa" w:w="1994"/>
            <w:shd w:fill="FCE4D6" w:val="clear"/>
          </w:tcPr>
          <w:p>
            <w:pPr>
              <w:spacing w:after="0"/>
            </w:pPr>
            <w:r/>
            <w:r>
              <w:rPr>
                <w:b/>
                <w:i w:val="0"/>
                <w:sz w:val="16"/>
              </w:rPr>
              <w:t>MISSING HIERARCHY — GL account parent embedded</w:t>
            </w:r>
          </w:p>
        </w:tc>
        <w:tc>
          <w:tcPr>
            <w:tcW w:type="dxa" w:w="1994"/>
          </w:tcPr>
          <w:p>
            <w:pPr>
              <w:spacing w:after="0"/>
            </w:pPr>
            <w:r/>
            <w:r>
              <w:rPr>
                <w:b w:val="0"/>
                <w:i w:val="0"/>
                <w:sz w:val="14"/>
              </w:rPr>
              <w:t>gl_parent_account_id — GL hierarchy managed via self-referencing parent FK only</w:t>
            </w:r>
          </w:p>
        </w:tc>
        <w:tc>
          <w:tcPr>
            <w:tcW w:type="dxa" w:w="1994"/>
          </w:tcPr>
          <w:p>
            <w:pPr>
              <w:spacing w:after="0"/>
            </w:pPr>
            <w:r/>
            <w:r>
              <w:rPr>
                <w:b w:val="0"/>
                <w:i/>
                <w:sz w:val="16"/>
              </w:rPr>
              <w:t>This is technically valid (adjacency list) but insufficient for banking. Chart of accounts typically has 5-7 levels.</w:t>
            </w:r>
          </w:p>
        </w:tc>
        <w:tc>
          <w:tcPr>
            <w:tcW w:type="dxa" w:w="1994"/>
          </w:tcPr>
          <w:p>
            <w:pPr>
              <w:spacing w:after="0"/>
            </w:pPr>
            <w:r/>
            <w:r>
              <w:rPr>
                <w:b w:val="0"/>
                <w:i w:val="0"/>
                <w:sz w:val="16"/>
              </w:rPr>
              <w:t>Acceptable as adjacency list for 3NF. However, consider a path-enumeration or closure table for efficient hierarchy traversal queries.</w:t>
            </w:r>
          </w:p>
        </w:tc>
      </w:tr>
      <w:tr>
        <w:tc>
          <w:tcPr>
            <w:tcW w:type="dxa" w:w="1994"/>
          </w:tcPr>
          <w:p>
            <w:pPr>
              <w:spacing w:after="0"/>
            </w:pPr>
            <w:r/>
            <w:r>
              <w:rPr>
                <w:b/>
                <w:i w:val="0"/>
                <w:sz w:val="16"/>
              </w:rPr>
              <w:t>Reference tables duplicated across SAs</w:t>
            </w:r>
          </w:p>
        </w:tc>
        <w:tc>
          <w:tcPr>
            <w:tcW w:type="dxa" w:w="1994"/>
            <w:shd w:fill="FCE4D6" w:val="clear"/>
          </w:tcPr>
          <w:p>
            <w:pPr>
              <w:spacing w:after="0"/>
            </w:pPr>
            <w:r/>
            <w:r>
              <w:rPr>
                <w:b/>
                <w:i w:val="0"/>
                <w:sz w:val="16"/>
              </w:rPr>
              <w:t>REDUNDANT DUPLICATE TABLES — Reference Data Fragmentation</w:t>
            </w:r>
          </w:p>
        </w:tc>
        <w:tc>
          <w:tcPr>
            <w:tcW w:type="dxa" w:w="1994"/>
          </w:tcPr>
          <w:p>
            <w:pPr>
              <w:spacing w:after="0"/>
            </w:pPr>
            <w:r/>
            <w:r>
              <w:rPr>
                <w:b w:val="0"/>
                <w:i w:val="0"/>
                <w:sz w:val="14"/>
              </w:rPr>
              <w:t>Reference_Country, Reference_Currency, Reference_Bank_Branch, Reference_Segment, Reference_Gender, Reference_Education, Reference_Marital_Status — each appears in 5-8 subject areas</w:t>
            </w:r>
          </w:p>
        </w:tc>
        <w:tc>
          <w:tcPr>
            <w:tcW w:type="dxa" w:w="1994"/>
          </w:tcPr>
          <w:p>
            <w:pPr>
              <w:spacing w:after="0"/>
            </w:pPr>
            <w:r/>
            <w:r>
              <w:rPr>
                <w:b w:val="0"/>
                <w:i/>
                <w:sz w:val="16"/>
              </w:rPr>
              <w:t>Violates DRY principle and 3NF: same fact stored in multiple places</w:t>
            </w:r>
          </w:p>
        </w:tc>
        <w:tc>
          <w:tcPr>
            <w:tcW w:type="dxa" w:w="1994"/>
          </w:tcPr>
          <w:p>
            <w:pPr>
              <w:spacing w:after="0"/>
            </w:pPr>
            <w:r/>
            <w:r>
              <w:rPr>
                <w:b w:val="0"/>
                <w:i w:val="0"/>
                <w:sz w:val="16"/>
              </w:rPr>
              <w:t>Create a single Reference_Data subject area. Each reference entity exists once. All other SAs reference via FK. This eliminates 100-150 duplicate entity definitions.</w:t>
            </w:r>
          </w:p>
        </w:tc>
      </w:tr>
      <w:tr>
        <w:tc>
          <w:tcPr>
            <w:tcW w:type="dxa" w:w="1994"/>
          </w:tcPr>
          <w:p>
            <w:pPr>
              <w:spacing w:after="0"/>
            </w:pPr>
            <w:r/>
            <w:r>
              <w:rPr>
                <w:b/>
                <w:i w:val="0"/>
                <w:sz w:val="16"/>
              </w:rPr>
              <w:t>Deposit Term Account (13 attrs)</w:t>
            </w:r>
          </w:p>
        </w:tc>
        <w:tc>
          <w:tcPr>
            <w:tcW w:type="dxa" w:w="1994"/>
            <w:shd w:fill="FCE4D6" w:val="clear"/>
          </w:tcPr>
          <w:p>
            <w:pPr>
              <w:spacing w:after="0"/>
            </w:pPr>
            <w:r/>
            <w:r>
              <w:rPr>
                <w:b/>
                <w:i w:val="0"/>
                <w:sz w:val="16"/>
              </w:rPr>
              <w:t>INSUFFICIENT — MISSING FUNCTIONAL DEPENDENCIES</w:t>
            </w:r>
          </w:p>
        </w:tc>
        <w:tc>
          <w:tcPr>
            <w:tcW w:type="dxa" w:w="1994"/>
          </w:tcPr>
          <w:p>
            <w:pPr>
              <w:spacing w:after="0"/>
            </w:pPr>
            <w:r/>
            <w:r>
              <w:rPr>
                <w:b w:val="0"/>
                <w:i w:val="0"/>
                <w:sz w:val="14"/>
              </w:rPr>
              <w:t>Entity only has: Account_Number, Modifier_Number, Next_Term_Maturity_Date, Grace_Period_End_Date plus metadata</w:t>
            </w:r>
          </w:p>
        </w:tc>
        <w:tc>
          <w:tcPr>
            <w:tcW w:type="dxa" w:w="1994"/>
          </w:tcPr>
          <w:p>
            <w:pPr>
              <w:spacing w:after="0"/>
            </w:pPr>
            <w:r/>
            <w:r>
              <w:rPr>
                <w:b w:val="0"/>
                <w:i/>
                <w:sz w:val="16"/>
              </w:rPr>
              <w:t>Not a normalisation violation per se, but the entity is incomplete: rate, tenor, and rollover instruction are fundamental attributes that determine the entity's meaning</w:t>
            </w:r>
          </w:p>
        </w:tc>
        <w:tc>
          <w:tcPr>
            <w:tcW w:type="dxa" w:w="1994"/>
          </w:tcPr>
          <w:p>
            <w:pPr>
              <w:spacing w:after="0"/>
            </w:pPr>
            <w:r/>
            <w:r>
              <w:rPr>
                <w:b w:val="0"/>
                <w:i w:val="0"/>
                <w:sz w:val="16"/>
              </w:rPr>
              <w:t>Add the core attributes that define a term deposit: original_tenor, interest_rate, rate_type, maturity_instruction_code, early_redemption_penalty_rate, original_deposit_amount.</w:t>
            </w:r>
          </w:p>
        </w:tc>
      </w:tr>
      <w:tr>
        <w:tc>
          <w:tcPr>
            <w:tcW w:type="dxa" w:w="1994"/>
          </w:tcPr>
          <w:p>
            <w:pPr>
              <w:spacing w:after="0"/>
            </w:pPr>
            <w:r/>
            <w:r>
              <w:rPr>
                <w:b/>
                <w:i w:val="0"/>
                <w:sz w:val="16"/>
              </w:rPr>
              <w:t>Loan_Account (70+ attrs)</w:t>
            </w:r>
          </w:p>
        </w:tc>
        <w:tc>
          <w:tcPr>
            <w:tcW w:type="dxa" w:w="1994"/>
            <w:shd w:fill="FCE4D6" w:val="clear"/>
          </w:tcPr>
          <w:p>
            <w:pPr>
              <w:spacing w:after="0"/>
            </w:pPr>
            <w:r/>
            <w:r>
              <w:rPr>
                <w:b/>
                <w:i w:val="0"/>
                <w:sz w:val="16"/>
              </w:rPr>
              <w:t>EMBEDDED SCORING DATA</w:t>
            </w:r>
          </w:p>
        </w:tc>
        <w:tc>
          <w:tcPr>
            <w:tcW w:type="dxa" w:w="1994"/>
          </w:tcPr>
          <w:p>
            <w:pPr>
              <w:spacing w:after="0"/>
            </w:pPr>
            <w:r/>
            <w:r>
              <w:rPr>
                <w:b w:val="0"/>
                <w:i w:val="0"/>
                <w:sz w:val="14"/>
              </w:rPr>
              <w:t>Account_Score_Value, Model_id, Model_run_id, Model_run_date_time — risk scoring attributes embedded in the loan account entity</w:t>
            </w:r>
          </w:p>
        </w:tc>
        <w:tc>
          <w:tcPr>
            <w:tcW w:type="dxa" w:w="1994"/>
          </w:tcPr>
          <w:p>
            <w:pPr>
              <w:spacing w:after="0"/>
            </w:pPr>
            <w:r/>
            <w:r>
              <w:rPr>
                <w:b w:val="0"/>
                <w:i/>
                <w:sz w:val="16"/>
              </w:rPr>
              <w:t>3NF — Score attributes depend on the model run, not on the loan account</w:t>
            </w:r>
          </w:p>
        </w:tc>
        <w:tc>
          <w:tcPr>
            <w:tcW w:type="dxa" w:w="1994"/>
          </w:tcPr>
          <w:p>
            <w:pPr>
              <w:spacing w:after="0"/>
            </w:pPr>
            <w:r/>
            <w:r>
              <w:rPr>
                <w:b w:val="0"/>
                <w:i w:val="0"/>
                <w:sz w:val="16"/>
              </w:rPr>
              <w:t>Create Loan_Risk_Score child entity: (account_id, model_id, model_run_id, run_date, score_value, score_grade). FK from Loan_Account.</w:t>
            </w:r>
          </w:p>
        </w:tc>
      </w:tr>
      <w:tr>
        <w:tc>
          <w:tcPr>
            <w:tcW w:type="dxa" w:w="1994"/>
          </w:tcPr>
          <w:p>
            <w:pPr>
              <w:spacing w:after="0"/>
            </w:pPr>
            <w:r/>
            <w:r>
              <w:rPr>
                <w:b/>
                <w:i w:val="0"/>
                <w:sz w:val="16"/>
              </w:rPr>
              <w:t>Customer entity (145 attrs)</w:t>
            </w:r>
          </w:p>
        </w:tc>
        <w:tc>
          <w:tcPr>
            <w:tcW w:type="dxa" w:w="1994"/>
            <w:shd w:fill="FCE4D6" w:val="clear"/>
          </w:tcPr>
          <w:p>
            <w:pPr>
              <w:spacing w:after="0"/>
            </w:pPr>
            <w:r/>
            <w:r>
              <w:rPr>
                <w:b/>
                <w:i w:val="0"/>
                <w:sz w:val="16"/>
              </w:rPr>
              <w:t>MULTI-VALUE ATTRIBUTE</w:t>
            </w:r>
          </w:p>
        </w:tc>
        <w:tc>
          <w:tcPr>
            <w:tcW w:type="dxa" w:w="1994"/>
          </w:tcPr>
          <w:p>
            <w:pPr>
              <w:spacing w:after="0"/>
            </w:pPr>
            <w:r/>
            <w:r>
              <w:rPr>
                <w:b w:val="0"/>
                <w:i w:val="0"/>
                <w:sz w:val="14"/>
              </w:rPr>
              <w:t>"Available Products", "Selected Products" — product lists stored as single attributes</w:t>
            </w:r>
          </w:p>
        </w:tc>
        <w:tc>
          <w:tcPr>
            <w:tcW w:type="dxa" w:w="1994"/>
          </w:tcPr>
          <w:p>
            <w:pPr>
              <w:spacing w:after="0"/>
            </w:pPr>
            <w:r/>
            <w:r>
              <w:rPr>
                <w:b w:val="0"/>
                <w:i/>
                <w:sz w:val="16"/>
              </w:rPr>
              <w:t>1NF — Atomic values requirement violated if these are comma-separated lists or arrays</w:t>
            </w:r>
          </w:p>
        </w:tc>
        <w:tc>
          <w:tcPr>
            <w:tcW w:type="dxa" w:w="1994"/>
          </w:tcPr>
          <w:p>
            <w:pPr>
              <w:spacing w:after="0"/>
            </w:pPr>
            <w:r/>
            <w:r>
              <w:rPr>
                <w:b w:val="0"/>
                <w:i w:val="0"/>
                <w:sz w:val="16"/>
              </w:rPr>
              <w:t>If these are lists/arrays, create Customer_Product_Enrollment junction entity: (customer_id, product_id, enrollment_date, status). This supports proper querying and history tracking.</w:t>
            </w:r>
          </w:p>
        </w:tc>
      </w:tr>
    </w:tbl>
    <w:p/>
    <w:p>
      <w:pPr>
        <w:pStyle w:val="Heading2"/>
      </w:pPr>
      <w:r>
        <w:t>5.2 Acceptable Denormalisations (Intentional)</w:t>
      </w:r>
    </w:p>
    <w:p>
      <w:r>
        <w:t>The following denormalisations are acceptable in a silver analytical model because they serve legitimate performance or usability purposes. They should be documented explicitly.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375623" w:val="clear"/>
          </w:tcPr>
          <w:p>
            <w:pPr>
              <w:spacing w:after="0"/>
            </w:pPr>
            <w:r/>
            <w:r>
              <w:rPr>
                <w:b/>
                <w:i w:val="0"/>
                <w:color w:val="FFFFFF"/>
                <w:sz w:val="16"/>
              </w:rPr>
              <w:t>Entity</w:t>
            </w:r>
          </w:p>
        </w:tc>
        <w:tc>
          <w:tcPr>
            <w:tcW w:type="dxa" w:w="2493"/>
            <w:shd w:fill="375623" w:val="clear"/>
          </w:tcPr>
          <w:p>
            <w:pPr>
              <w:spacing w:after="0"/>
            </w:pPr>
            <w:r/>
            <w:r>
              <w:rPr>
                <w:b/>
                <w:i w:val="0"/>
                <w:color w:val="FFFFFF"/>
                <w:sz w:val="16"/>
              </w:rPr>
              <w:t>Denormalized Attribute</w:t>
            </w:r>
          </w:p>
        </w:tc>
        <w:tc>
          <w:tcPr>
            <w:tcW w:type="dxa" w:w="2493"/>
            <w:shd w:fill="375623" w:val="clear"/>
          </w:tcPr>
          <w:p>
            <w:pPr>
              <w:spacing w:after="0"/>
            </w:pPr>
            <w:r/>
            <w:r>
              <w:rPr>
                <w:b/>
                <w:i w:val="0"/>
                <w:color w:val="FFFFFF"/>
                <w:sz w:val="16"/>
              </w:rPr>
              <w:t>Justification</w:t>
            </w:r>
          </w:p>
        </w:tc>
        <w:tc>
          <w:tcPr>
            <w:tcW w:type="dxa" w:w="2493"/>
            <w:shd w:fill="375623" w:val="clear"/>
          </w:tcPr>
          <w:p>
            <w:pPr>
              <w:spacing w:after="0"/>
            </w:pPr>
            <w:r/>
            <w:r>
              <w:rPr>
                <w:b/>
                <w:i w:val="0"/>
                <w:color w:val="FFFFFF"/>
                <w:sz w:val="16"/>
              </w:rPr>
              <w:t>Documentation Required</w:t>
            </w:r>
          </w:p>
        </w:tc>
      </w:tr>
      <w:tr>
        <w:tc>
          <w:tcPr>
            <w:tcW w:type="dxa" w:w="2493"/>
            <w:shd w:fill="E2EFDA" w:val="clear"/>
          </w:tcPr>
          <w:p>
            <w:pPr>
              <w:spacing w:after="0"/>
            </w:pPr>
            <w:r/>
            <w:r>
              <w:rPr>
                <w:b/>
                <w:i w:val="0"/>
                <w:sz w:val="16"/>
              </w:rPr>
              <w:t>CASA Transaction (Statement Data)</w:t>
            </w:r>
          </w:p>
        </w:tc>
        <w:tc>
          <w:tcPr>
            <w:tcW w:type="dxa" w:w="2493"/>
          </w:tcPr>
          <w:p>
            <w:pPr>
              <w:spacing w:after="0"/>
            </w:pPr>
            <w:r/>
            <w:r>
              <w:rPr>
                <w:b w:val="0"/>
                <w:i w:val="0"/>
                <w:sz w:val="16"/>
              </w:rPr>
              <w:t>customer_number, segment_code, counterparty_account_number, counterparty_account_type, beneficiary_name</w:t>
            </w:r>
          </w:p>
        </w:tc>
        <w:tc>
          <w:tcPr>
            <w:tcW w:type="dxa" w:w="2493"/>
          </w:tcPr>
          <w:p>
            <w:pPr>
              <w:spacing w:after="0"/>
            </w:pPr>
            <w:r/>
            <w:r>
              <w:rPr>
                <w:b w:val="0"/>
                <w:i w:val="0"/>
                <w:sz w:val="16"/>
              </w:rPr>
              <w:t>Transaction-level denormalisation is standard practice for analytics. Avoids high-cardinality joins on billion-row transaction tables. Acceptable pattern.</w:t>
            </w:r>
          </w:p>
        </w:tc>
        <w:tc>
          <w:tcPr>
            <w:tcW w:type="dxa" w:w="2493"/>
          </w:tcPr>
          <w:p>
            <w:pPr>
              <w:spacing w:after="0"/>
            </w:pPr>
            <w:r/>
            <w:r>
              <w:rPr>
                <w:b w:val="0"/>
                <w:i w:val="0"/>
                <w:sz w:val="16"/>
              </w:rPr>
              <w:t>Document that these are sourced values from the transaction record, not FK-resolved lookups. Add FK references for navigability.</w:t>
            </w:r>
          </w:p>
        </w:tc>
      </w:tr>
      <w:tr>
        <w:tc>
          <w:tcPr>
            <w:tcW w:type="dxa" w:w="2493"/>
            <w:shd w:fill="E2EFDA" w:val="clear"/>
          </w:tcPr>
          <w:p>
            <w:pPr>
              <w:spacing w:after="0"/>
            </w:pPr>
            <w:r/>
            <w:r>
              <w:rPr>
                <w:b/>
                <w:i w:val="0"/>
                <w:sz w:val="16"/>
              </w:rPr>
              <w:t>Credit_Card_Transaction</w:t>
            </w:r>
          </w:p>
        </w:tc>
        <w:tc>
          <w:tcPr>
            <w:tcW w:type="dxa" w:w="2493"/>
          </w:tcPr>
          <w:p>
            <w:pPr>
              <w:spacing w:after="0"/>
            </w:pPr>
            <w:r/>
            <w:r>
              <w:rPr>
                <w:b w:val="0"/>
                <w:i w:val="0"/>
                <w:sz w:val="16"/>
              </w:rPr>
              <w:t>CIF_number, product_id, merchant_id, token_wallet_type_code, mcc, mcc_category</w:t>
            </w:r>
          </w:p>
        </w:tc>
        <w:tc>
          <w:tcPr>
            <w:tcW w:type="dxa" w:w="2493"/>
          </w:tcPr>
          <w:p>
            <w:pPr>
              <w:spacing w:after="0"/>
            </w:pPr>
            <w:r/>
            <w:r>
              <w:rPr>
                <w:b w:val="0"/>
                <w:i w:val="0"/>
                <w:sz w:val="16"/>
              </w:rPr>
              <w:t>High-volume transaction entity. Denormalising key descriptors avoids joins at query time. Acceptable for silver transaction entity.</w:t>
            </w:r>
          </w:p>
        </w:tc>
        <w:tc>
          <w:tcPr>
            <w:tcW w:type="dxa" w:w="2493"/>
          </w:tcPr>
          <w:p>
            <w:pPr>
              <w:spacing w:after="0"/>
            </w:pPr>
            <w:r/>
            <w:r>
              <w:rPr>
                <w:b w:val="0"/>
                <w:i w:val="0"/>
                <w:sz w:val="16"/>
              </w:rPr>
              <w:t>Document which attributes are sourced directly from card network messages vs resolved from reference entities.</w:t>
            </w:r>
          </w:p>
        </w:tc>
      </w:tr>
      <w:tr>
        <w:tc>
          <w:tcPr>
            <w:tcW w:type="dxa" w:w="2493"/>
            <w:shd w:fill="E2EFDA" w:val="clear"/>
          </w:tcPr>
          <w:p>
            <w:pPr>
              <w:spacing w:after="0"/>
            </w:pPr>
            <w:r/>
            <w:r>
              <w:rPr>
                <w:b/>
                <w:i w:val="0"/>
                <w:sz w:val="16"/>
              </w:rPr>
              <w:t>Loan_Account</w:t>
            </w:r>
          </w:p>
        </w:tc>
        <w:tc>
          <w:tcPr>
            <w:tcW w:type="dxa" w:w="2493"/>
          </w:tcPr>
          <w:p>
            <w:pPr>
              <w:spacing w:after="0"/>
            </w:pPr>
            <w:r/>
            <w:r>
              <w:rPr>
                <w:b w:val="0"/>
                <w:i w:val="0"/>
                <w:sz w:val="16"/>
              </w:rPr>
              <w:t>customer_number (CIF), product_code, branch_id, collection_status_code, days_past_due_count</w:t>
            </w:r>
          </w:p>
        </w:tc>
        <w:tc>
          <w:tcPr>
            <w:tcW w:type="dxa" w:w="2493"/>
          </w:tcPr>
          <w:p>
            <w:pPr>
              <w:spacing w:after="0"/>
            </w:pPr>
            <w:r/>
            <w:r>
              <w:rPr>
                <w:b w:val="0"/>
                <w:i w:val="0"/>
                <w:sz w:val="16"/>
              </w:rPr>
              <w:t>Current-state denormalisation on account master. Core operational attributes available without join. Acceptable if not duplicating history.</w:t>
            </w:r>
          </w:p>
        </w:tc>
        <w:tc>
          <w:tcPr>
            <w:tcW w:type="dxa" w:w="2493"/>
          </w:tcPr>
          <w:p>
            <w:pPr>
              <w:spacing w:after="0"/>
            </w:pPr>
            <w:r/>
            <w:r>
              <w:rPr>
                <w:b w:val="0"/>
                <w:i w:val="0"/>
                <w:sz w:val="16"/>
              </w:rPr>
              <w:t>Ensure days_past_due_count is sourced (not computed by the platform). If platform-computed, it is Gold content.</w:t>
            </w:r>
          </w:p>
        </w:tc>
      </w:tr>
      <w:tr>
        <w:tc>
          <w:tcPr>
            <w:tcW w:type="dxa" w:w="2493"/>
            <w:shd w:fill="E2EFDA" w:val="clear"/>
          </w:tcPr>
          <w:p>
            <w:pPr>
              <w:spacing w:after="0"/>
            </w:pPr>
            <w:r/>
            <w:r>
              <w:rPr>
                <w:b/>
                <w:i w:val="0"/>
                <w:sz w:val="16"/>
              </w:rPr>
              <w:t>Application_Customer (62 attrs)</w:t>
            </w:r>
          </w:p>
        </w:tc>
        <w:tc>
          <w:tcPr>
            <w:tcW w:type="dxa" w:w="2493"/>
          </w:tcPr>
          <w:p>
            <w:pPr>
              <w:spacing w:after="0"/>
            </w:pPr>
            <w:r/>
            <w:r>
              <w:rPr>
                <w:b w:val="0"/>
                <w:i w:val="0"/>
                <w:sz w:val="16"/>
              </w:rPr>
              <w:t>Snapshot of customer demographic data at application time</w:t>
            </w:r>
          </w:p>
        </w:tc>
        <w:tc>
          <w:tcPr>
            <w:tcW w:type="dxa" w:w="2493"/>
          </w:tcPr>
          <w:p>
            <w:pPr>
              <w:spacing w:after="0"/>
            </w:pPr>
            <w:r/>
            <w:r>
              <w:rPr>
                <w:b w:val="0"/>
                <w:i w:val="0"/>
                <w:sz w:val="16"/>
              </w:rPr>
              <w:t>Regulatory requirement: customer state at point of origination must be preserved independently of current customer state. Intentional denormalisation.</w:t>
            </w:r>
          </w:p>
        </w:tc>
        <w:tc>
          <w:tcPr>
            <w:tcW w:type="dxa" w:w="2493"/>
          </w:tcPr>
          <w:p>
            <w:pPr>
              <w:spacing w:after="0"/>
            </w:pPr>
            <w:r/>
            <w:r>
              <w:rPr>
                <w:b w:val="0"/>
                <w:i w:val="0"/>
                <w:sz w:val="16"/>
              </w:rPr>
              <w:t>Explicitly document as a temporal snapshot. Add application_snapshot_date. Do not use this entity as the current customer record.</w:t>
            </w:r>
          </w:p>
        </w:tc>
      </w:tr>
      <w:tr>
        <w:tc>
          <w:tcPr>
            <w:tcW w:type="dxa" w:w="2493"/>
            <w:shd w:fill="E2EFDA" w:val="clear"/>
          </w:tcPr>
          <w:p>
            <w:pPr>
              <w:spacing w:after="0"/>
            </w:pPr>
            <w:r/>
            <w:r>
              <w:rPr>
                <w:b/>
                <w:i w:val="0"/>
                <w:sz w:val="16"/>
              </w:rPr>
              <w:t>GL_RECONCILIATION</w:t>
            </w:r>
          </w:p>
        </w:tc>
        <w:tc>
          <w:tcPr>
            <w:tcW w:type="dxa" w:w="2493"/>
          </w:tcPr>
          <w:p>
            <w:pPr>
              <w:spacing w:after="0"/>
            </w:pPr>
            <w:r/>
            <w:r>
              <w:rPr>
                <w:b w:val="0"/>
                <w:i w:val="0"/>
                <w:sz w:val="16"/>
              </w:rPr>
              <w:t>transaction_id from both Txn SA and GL SA side-by-side</w:t>
            </w:r>
          </w:p>
        </w:tc>
        <w:tc>
          <w:tcPr>
            <w:tcW w:type="dxa" w:w="2493"/>
          </w:tcPr>
          <w:p>
            <w:pPr>
              <w:spacing w:after="0"/>
            </w:pPr>
            <w:r/>
            <w:r>
              <w:rPr>
                <w:b w:val="0"/>
                <w:i w:val="0"/>
                <w:sz w:val="16"/>
              </w:rPr>
              <w:t>Reconciliation entity needs both keys to express the matching relationship. Acceptable design for a reconciliation artefact.</w:t>
            </w:r>
          </w:p>
        </w:tc>
        <w:tc>
          <w:tcPr>
            <w:tcW w:type="dxa" w:w="2493"/>
          </w:tcPr>
          <w:p>
            <w:pPr>
              <w:spacing w:after="0"/>
            </w:pPr>
            <w:r/>
            <w:r>
              <w:rPr>
                <w:b w:val="0"/>
                <w:i w:val="0"/>
                <w:sz w:val="16"/>
              </w:rPr>
              <w:t>Document that this entity represents a reconciliation result record, not a derived aggregate.</w:t>
            </w:r>
          </w:p>
        </w:tc>
      </w:tr>
    </w:tbl>
    <w:p/>
    <w:p>
      <w:pPr>
        <w:pStyle w:val="Heading2"/>
      </w:pPr>
      <w:r>
        <w:t>5.3 Missing Normalisation Patterns</w:t>
      </w:r>
    </w:p>
    <w:p>
      <w:r>
        <w:t>The following standard banking data model patterns are absent from the model. Their absence causes either missing data or forced denormalisation downstream.</w:t>
      </w:r>
    </w:p>
    <w:tbl>
      <w:tblPr>
        <w:tblStyle w:val="TableGrid"/>
        <w:tblW w:type="auto" w:w="0"/>
        <w:tblLook w:firstColumn="1" w:firstRow="1" w:lastColumn="0" w:lastRow="0" w:noHBand="0" w:noVBand="1" w:val="04A0"/>
      </w:tblPr>
      <w:tblGrid>
        <w:gridCol w:w="3324"/>
        <w:gridCol w:w="3324"/>
        <w:gridCol w:w="3324"/>
      </w:tblGrid>
      <w:tr>
        <w:tc>
          <w:tcPr>
            <w:tcW w:type="dxa" w:w="3324"/>
            <w:shd w:fill="1F3864" w:val="clear"/>
          </w:tcPr>
          <w:p>
            <w:pPr>
              <w:spacing w:after="0"/>
            </w:pPr>
            <w:r/>
            <w:r>
              <w:rPr>
                <w:b/>
                <w:i w:val="0"/>
                <w:color w:val="FFFFFF"/>
                <w:sz w:val="16"/>
              </w:rPr>
              <w:t>Missing Pattern</w:t>
            </w:r>
          </w:p>
        </w:tc>
        <w:tc>
          <w:tcPr>
            <w:tcW w:type="dxa" w:w="3324"/>
            <w:shd w:fill="1F3864" w:val="clear"/>
          </w:tcPr>
          <w:p>
            <w:pPr>
              <w:spacing w:after="0"/>
            </w:pPr>
            <w:r/>
            <w:r>
              <w:rPr>
                <w:b/>
                <w:i w:val="0"/>
                <w:color w:val="FFFFFF"/>
                <w:sz w:val="16"/>
              </w:rPr>
              <w:t>Impact of Absence</w:t>
            </w:r>
          </w:p>
        </w:tc>
        <w:tc>
          <w:tcPr>
            <w:tcW w:type="dxa" w:w="3324"/>
            <w:shd w:fill="1F3864" w:val="clear"/>
          </w:tcPr>
          <w:p>
            <w:pPr>
              <w:spacing w:after="0"/>
            </w:pPr>
            <w:r/>
            <w:r>
              <w:rPr>
                <w:b/>
                <w:i w:val="0"/>
                <w:color w:val="FFFFFF"/>
                <w:sz w:val="16"/>
              </w:rPr>
              <w:t>Resolution</w:t>
            </w:r>
          </w:p>
        </w:tc>
      </w:tr>
      <w:tr>
        <w:tc>
          <w:tcPr>
            <w:tcW w:type="dxa" w:w="3324"/>
          </w:tcPr>
          <w:p>
            <w:pPr>
              <w:spacing w:after="0"/>
            </w:pPr>
            <w:r/>
            <w:r>
              <w:rPr>
                <w:b/>
                <w:i w:val="0"/>
                <w:sz w:val="16"/>
              </w:rPr>
              <w:t>Canonical Address Entity</w:t>
              <w:br/>
              <w:t>(Customer_Address)</w:t>
            </w:r>
          </w:p>
        </w:tc>
        <w:tc>
          <w:tcPr>
            <w:tcW w:type="dxa" w:w="3324"/>
            <w:shd w:fill="FCE4D6" w:val="clear"/>
          </w:tcPr>
          <w:p>
            <w:pPr>
              <w:spacing w:after="0"/>
            </w:pPr>
            <w:r/>
            <w:r>
              <w:rPr>
                <w:b w:val="0"/>
                <w:i w:val="0"/>
                <w:sz w:val="16"/>
              </w:rPr>
              <w:t>Address details embedded in Customer_ContactInformation prevent multi-address support (home/work/mailing), address history tracking, and UAE-specific address formatting (Emirate, P.O. Box, Makani number).</w:t>
            </w:r>
          </w:p>
        </w:tc>
        <w:tc>
          <w:tcPr>
            <w:tcW w:type="dxa" w:w="3324"/>
          </w:tcPr>
          <w:p>
            <w:pPr>
              <w:spacing w:after="0"/>
            </w:pPr>
            <w:r/>
            <w:r>
              <w:rPr>
                <w:b w:val="0"/>
                <w:i w:val="0"/>
                <w:sz w:val="16"/>
              </w:rPr>
              <w:t>Create Customer_Address: address_id, customer_id, address_type_code, address_line_1-3, emirate_code, country_code, pobox, makani_number, effective_from, effective_to, is_primary_flag</w:t>
            </w:r>
          </w:p>
        </w:tc>
      </w:tr>
      <w:tr>
        <w:tc>
          <w:tcPr>
            <w:tcW w:type="dxa" w:w="3324"/>
          </w:tcPr>
          <w:p>
            <w:pPr>
              <w:spacing w:after="0"/>
            </w:pPr>
            <w:r/>
            <w:r>
              <w:rPr>
                <w:b/>
                <w:i w:val="0"/>
                <w:sz w:val="16"/>
              </w:rPr>
              <w:t>Currency Amount Composite Type</w:t>
              <w:br/>
              <w:t>(Monetary Amount Pattern)</w:t>
            </w:r>
          </w:p>
        </w:tc>
        <w:tc>
          <w:tcPr>
            <w:tcW w:type="dxa" w:w="3324"/>
            <w:shd w:fill="FCE4D6" w:val="clear"/>
          </w:tcPr>
          <w:p>
            <w:pPr>
              <w:spacing w:after="0"/>
            </w:pPr>
            <w:r/>
            <w:r>
              <w:rPr>
                <w:b w:val="0"/>
                <w:i w:val="0"/>
                <w:sz w:val="16"/>
              </w:rPr>
              <w:t>All monetary amounts are single STRING attributes. AED amounts are mixed with foreign currency amounts without explicit currency reference per amount field, making multi-currency analysis unreliable.</w:t>
            </w:r>
          </w:p>
        </w:tc>
        <w:tc>
          <w:tcPr>
            <w:tcW w:type="dxa" w:w="3324"/>
          </w:tcPr>
          <w:p>
            <w:pPr>
              <w:spacing w:after="0"/>
            </w:pPr>
            <w:r/>
            <w:r>
              <w:rPr>
                <w:b w:val="0"/>
                <w:i w:val="0"/>
                <w:sz w:val="16"/>
              </w:rPr>
              <w:t>For each monetary amount field, pair with explicit currency_code: e.g., original_amount DECIMAL(19,4) + original_currency_code VARCHAR(3) + aed_equivalent_amount DECIMAL(19,4). Or use a Money composite type.</w:t>
            </w:r>
          </w:p>
        </w:tc>
      </w:tr>
      <w:tr>
        <w:tc>
          <w:tcPr>
            <w:tcW w:type="dxa" w:w="3324"/>
          </w:tcPr>
          <w:p>
            <w:pPr>
              <w:spacing w:after="0"/>
            </w:pPr>
            <w:r/>
            <w:r>
              <w:rPr>
                <w:b/>
                <w:i w:val="0"/>
                <w:sz w:val="16"/>
              </w:rPr>
              <w:t>Surrogate Key Pattern</w:t>
              <w:br/>
              <w:t>(All Entities)</w:t>
            </w:r>
          </w:p>
        </w:tc>
        <w:tc>
          <w:tcPr>
            <w:tcW w:type="dxa" w:w="3324"/>
            <w:shd w:fill="FCE4D6" w:val="clear"/>
          </w:tcPr>
          <w:p>
            <w:pPr>
              <w:spacing w:after="0"/>
            </w:pPr>
            <w:r/>
            <w:r>
              <w:rPr>
                <w:b w:val="0"/>
                <w:i w:val="0"/>
                <w:sz w:val="16"/>
              </w:rPr>
              <w:t>All entities use source-system natural keys. Cross-system entity resolution (customer in Finacle + customer in FIS) is impossible without a surrogate key layer.</w:t>
            </w:r>
          </w:p>
        </w:tc>
        <w:tc>
          <w:tcPr>
            <w:tcW w:type="dxa" w:w="3324"/>
          </w:tcPr>
          <w:p>
            <w:pPr>
              <w:spacing w:after="0"/>
            </w:pPr>
            <w:r/>
            <w:r>
              <w:rPr>
                <w:b w:val="0"/>
                <w:i w:val="0"/>
                <w:sz w:val="16"/>
              </w:rPr>
              <w:t>Add {entity_name}_sk BIGINT GENERATED ALWAYS AS IDENTITY as the primary key on all conformed silver entities. Maintain source natural keys as non-null business keys with unique constraints.</w:t>
            </w:r>
          </w:p>
        </w:tc>
      </w:tr>
      <w:tr>
        <w:tc>
          <w:tcPr>
            <w:tcW w:type="dxa" w:w="3324"/>
          </w:tcPr>
          <w:p>
            <w:pPr>
              <w:spacing w:after="0"/>
            </w:pPr>
            <w:r/>
            <w:r>
              <w:rPr>
                <w:b/>
                <w:i w:val="0"/>
                <w:sz w:val="16"/>
              </w:rPr>
              <w:t>Effective Dating Pattern</w:t>
              <w:br/>
              <w:t>(SCD Type 2)</w:t>
            </w:r>
          </w:p>
        </w:tc>
        <w:tc>
          <w:tcPr>
            <w:tcW w:type="dxa" w:w="3324"/>
            <w:shd w:fill="FCE4D6" w:val="clear"/>
          </w:tcPr>
          <w:p>
            <w:pPr>
              <w:spacing w:after="0"/>
            </w:pPr>
            <w:r/>
            <w:r>
              <w:rPr>
                <w:b w:val="0"/>
                <w:i w:val="0"/>
                <w:sz w:val="16"/>
              </w:rPr>
              <w:t>Business_Start_Date and Business_End_Date exist on most entities but: (1) typed as CHAR(18), (2) no scd_version_number, (3) no record_hash for change detection. SCD Type 2 implementation will be unreliable.</w:t>
            </w:r>
          </w:p>
        </w:tc>
        <w:tc>
          <w:tcPr>
            <w:tcW w:type="dxa" w:w="3324"/>
          </w:tcPr>
          <w:p>
            <w:pPr>
              <w:spacing w:after="0"/>
            </w:pPr>
            <w:r/>
            <w:r>
              <w:rPr>
                <w:b w:val="0"/>
                <w:i w:val="0"/>
                <w:sz w:val="16"/>
              </w:rPr>
              <w:t>Standardise to: effective_from_date DATE NOT NULL, effective_to_date DATE (NULL = current), is_current_flag BOOLEAN, scd_version_seq INTEGER, record_hash VARCHAR(64). Apply consistently to ALL master data entities.</w:t>
            </w:r>
          </w:p>
        </w:tc>
      </w:tr>
      <w:tr>
        <w:tc>
          <w:tcPr>
            <w:tcW w:type="dxa" w:w="3324"/>
          </w:tcPr>
          <w:p>
            <w:pPr>
              <w:spacing w:after="0"/>
            </w:pPr>
            <w:r/>
            <w:r>
              <w:rPr>
                <w:b/>
                <w:i w:val="0"/>
                <w:sz w:val="16"/>
              </w:rPr>
              <w:t>Type/Subtype Inheritance Pattern</w:t>
              <w:br/>
              <w:t>(Customer Individual/Business)</w:t>
            </w:r>
          </w:p>
        </w:tc>
        <w:tc>
          <w:tcPr>
            <w:tcW w:type="dxa" w:w="3324"/>
            <w:shd w:fill="FCE4D6" w:val="clear"/>
          </w:tcPr>
          <w:p>
            <w:pPr>
              <w:spacing w:after="0"/>
            </w:pPr>
            <w:r/>
            <w:r>
              <w:rPr>
                <w:b w:val="0"/>
                <w:i w:val="0"/>
                <w:sz w:val="16"/>
              </w:rPr>
              <w:t>Customer_Individual and Customer_Business exist as separate entities but their relationship to the parent Customer entity and their specific attributes are not documented. Risk of data fragmentation.</w:t>
            </w:r>
          </w:p>
        </w:tc>
        <w:tc>
          <w:tcPr>
            <w:tcW w:type="dxa" w:w="3324"/>
          </w:tcPr>
          <w:p>
            <w:pPr>
              <w:spacing w:after="0"/>
            </w:pPr>
            <w:r/>
            <w:r>
              <w:rPr>
                <w:b w:val="0"/>
                <w:i w:val="0"/>
                <w:sz w:val="16"/>
              </w:rPr>
              <w:t>Implement Type-Subtype pattern: Customer (supertype with common attributes) → Customer_Individual (subtype for natural persons) → Customer_Business (subtype for legal entities). Enforce mutual exclusivity via customer_type_code.</w:t>
            </w:r>
          </w:p>
        </w:tc>
      </w:tr>
      <w:tr>
        <w:tc>
          <w:tcPr>
            <w:tcW w:type="dxa" w:w="3324"/>
          </w:tcPr>
          <w:p>
            <w:pPr>
              <w:spacing w:after="0"/>
            </w:pPr>
            <w:r/>
            <w:r>
              <w:rPr>
                <w:b/>
                <w:i w:val="0"/>
                <w:sz w:val="16"/>
              </w:rPr>
              <w:t>Many-to-Many Junction Pattern</w:t>
              <w:br/>
              <w:t>(Customer-Product, Account-Channel)</w:t>
            </w:r>
          </w:p>
        </w:tc>
        <w:tc>
          <w:tcPr>
            <w:tcW w:type="dxa" w:w="3324"/>
            <w:shd w:fill="FCE4D6" w:val="clear"/>
          </w:tcPr>
          <w:p>
            <w:pPr>
              <w:spacing w:after="0"/>
            </w:pPr>
            <w:r/>
            <w:r>
              <w:rPr>
                <w:b w:val="0"/>
                <w:i w:val="0"/>
                <w:sz w:val="16"/>
              </w:rPr>
              <w:t>Customer product enrollments are stored as comma-separated or array fields ("Available Products", "Selected Products"). Many-to-many relationships between accounts and channels are implicit.</w:t>
            </w:r>
          </w:p>
        </w:tc>
        <w:tc>
          <w:tcPr>
            <w:tcW w:type="dxa" w:w="3324"/>
          </w:tcPr>
          <w:p>
            <w:pPr>
              <w:spacing w:after="0"/>
            </w:pPr>
            <w:r/>
            <w:r>
              <w:rPr>
                <w:b w:val="0"/>
                <w:i w:val="0"/>
                <w:sz w:val="16"/>
              </w:rPr>
              <w:t>Use explicit junction entities: Customer_Product_Enrollment (customer_id, product_id, enrollment_date, status, channel_id) and Account_Channel_Access (account_id, channel_type_code, enabled_date, status).</w:t>
            </w:r>
          </w:p>
        </w:tc>
      </w:tr>
      <w:tr>
        <w:tc>
          <w:tcPr>
            <w:tcW w:type="dxa" w:w="3324"/>
          </w:tcPr>
          <w:p>
            <w:pPr>
              <w:spacing w:after="0"/>
            </w:pPr>
            <w:r/>
            <w:r>
              <w:rPr>
                <w:b/>
                <w:i w:val="0"/>
                <w:sz w:val="16"/>
              </w:rPr>
              <w:t>Audit Trail Pattern</w:t>
              <w:br/>
              <w:t>(All Entities)</w:t>
            </w:r>
          </w:p>
        </w:tc>
        <w:tc>
          <w:tcPr>
            <w:tcW w:type="dxa" w:w="3324"/>
            <w:shd w:fill="FCE4D6" w:val="clear"/>
          </w:tcPr>
          <w:p>
            <w:pPr>
              <w:spacing w:after="0"/>
            </w:pPr>
            <w:r/>
            <w:r>
              <w:rPr>
                <w:b w:val="0"/>
                <w:i w:val="0"/>
                <w:sz w:val="16"/>
              </w:rPr>
              <w:t>Create/Update/Delete dates exist but no change_reason, changed_by, or change_source attributes. Regulatory audit requirements need to know WHO changed data, not just WHEN.</w:t>
            </w:r>
          </w:p>
        </w:tc>
        <w:tc>
          <w:tcPr>
            <w:tcW w:type="dxa" w:w="3324"/>
          </w:tcPr>
          <w:p>
            <w:pPr>
              <w:spacing w:after="0"/>
            </w:pPr>
            <w:r/>
            <w:r>
              <w:rPr>
                <w:b w:val="0"/>
                <w:i w:val="0"/>
                <w:sz w:val="16"/>
              </w:rPr>
              <w:t>Add to all conformed entities: created_by_system VARCHAR, updated_by_system VARCHAR, change_reason_code VARCHAR, change_source_code VARCHAR.</w:t>
            </w:r>
          </w:p>
        </w:tc>
      </w:tr>
    </w:tbl>
    <w:p/>
    <w:p>
      <w:pPr>
        <w:pStyle w:val="Heading2"/>
      </w:pPr>
      <w:r>
        <w:t>5.4 Data Type Assessment — Systemic Failure</w:t>
      </w:r>
    </w:p>
    <w:p>
      <w:r>
        <w:t>Every subject area uses only STRING and CHAR(18) as logical data types. This is a critical systemic failure with significant downstream consequences.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C00000" w:val="clear"/>
          </w:tcPr>
          <w:p>
            <w:pPr>
              <w:spacing w:after="0"/>
            </w:pPr>
            <w:r/>
            <w:r>
              <w:rPr>
                <w:b/>
                <w:i w:val="0"/>
                <w:color w:val="FFFFFF"/>
                <w:sz w:val="16"/>
              </w:rPr>
              <w:t>Attribute Concept</w:t>
            </w:r>
          </w:p>
        </w:tc>
        <w:tc>
          <w:tcPr>
            <w:tcW w:type="dxa" w:w="2493"/>
            <w:shd w:fill="C00000" w:val="clear"/>
          </w:tcPr>
          <w:p>
            <w:pPr>
              <w:spacing w:after="0"/>
            </w:pPr>
            <w:r/>
            <w:r>
              <w:rPr>
                <w:b/>
                <w:i w:val="0"/>
                <w:color w:val="FFFFFF"/>
                <w:sz w:val="16"/>
              </w:rPr>
              <w:t>Current Logical Type</w:t>
            </w:r>
          </w:p>
        </w:tc>
        <w:tc>
          <w:tcPr>
            <w:tcW w:type="dxa" w:w="2493"/>
            <w:shd w:fill="C00000" w:val="clear"/>
          </w:tcPr>
          <w:p>
            <w:pPr>
              <w:spacing w:after="0"/>
            </w:pPr>
            <w:r/>
            <w:r>
              <w:rPr>
                <w:b/>
                <w:i w:val="0"/>
                <w:color w:val="FFFFFF"/>
                <w:sz w:val="16"/>
              </w:rPr>
              <w:t>Physical Type (observed)</w:t>
            </w:r>
          </w:p>
        </w:tc>
        <w:tc>
          <w:tcPr>
            <w:tcW w:type="dxa" w:w="2493"/>
            <w:shd w:fill="C00000" w:val="clear"/>
          </w:tcPr>
          <w:p>
            <w:pPr>
              <w:spacing w:after="0"/>
            </w:pPr>
            <w:r/>
            <w:r>
              <w:rPr>
                <w:b/>
                <w:i w:val="0"/>
                <w:color w:val="FFFFFF"/>
                <w:sz w:val="16"/>
              </w:rPr>
              <w:t>Required Logical Type</w:t>
            </w:r>
          </w:p>
        </w:tc>
      </w:tr>
      <w:tr>
        <w:tc>
          <w:tcPr>
            <w:tcW w:type="dxa" w:w="2493"/>
          </w:tcPr>
          <w:p>
            <w:pPr>
              <w:spacing w:after="0"/>
            </w:pPr>
            <w:r/>
            <w:r>
              <w:rPr>
                <w:b w:val="0"/>
                <w:i w:val="0"/>
                <w:sz w:val="16"/>
              </w:rPr>
              <w:t>Monetary amounts (balance, amount, limit)</w:t>
            </w:r>
          </w:p>
        </w:tc>
        <w:tc>
          <w:tcPr>
            <w:tcW w:type="dxa" w:w="2493"/>
            <w:shd w:fill="FFB3B3" w:val="clear"/>
          </w:tcPr>
          <w:p>
            <w:pPr>
              <w:spacing w:after="0"/>
            </w:pPr>
            <w:r/>
            <w:r>
              <w:rPr>
                <w:b/>
                <w:i w:val="0"/>
                <w:sz w:val="16"/>
              </w:rPr>
              <w:t>STRING</w:t>
            </w:r>
          </w:p>
        </w:tc>
        <w:tc>
          <w:tcPr>
            <w:tcW w:type="dxa" w:w="2493"/>
          </w:tcPr>
          <w:p>
            <w:pPr>
              <w:spacing w:after="0"/>
            </w:pPr>
            <w:r/>
            <w:r>
              <w:rPr>
                <w:b w:val="0"/>
                <w:i w:val="0"/>
                <w:sz w:val="16"/>
              </w:rPr>
              <w:t>BIGINT / STRING (mixed)</w:t>
            </w:r>
          </w:p>
        </w:tc>
        <w:tc>
          <w:tcPr>
            <w:tcW w:type="dxa" w:w="2493"/>
            <w:shd w:fill="E2EFDA" w:val="clear"/>
          </w:tcPr>
          <w:p>
            <w:pPr>
              <w:spacing w:after="0"/>
            </w:pPr>
            <w:r/>
            <w:r>
              <w:rPr>
                <w:b/>
                <w:i w:val="0"/>
                <w:sz w:val="16"/>
              </w:rPr>
              <w:t>DECIMAL(19,4) — preserves sub-unit precision for AED fils</w:t>
            </w:r>
          </w:p>
        </w:tc>
      </w:tr>
      <w:tr>
        <w:tc>
          <w:tcPr>
            <w:tcW w:type="dxa" w:w="2493"/>
          </w:tcPr>
          <w:p>
            <w:pPr>
              <w:spacing w:after="0"/>
            </w:pPr>
            <w:r/>
            <w:r>
              <w:rPr>
                <w:b w:val="0"/>
                <w:i w:val="0"/>
                <w:sz w:val="16"/>
              </w:rPr>
              <w:t>Account status, KYC status, freeze code</w:t>
            </w:r>
          </w:p>
        </w:tc>
        <w:tc>
          <w:tcPr>
            <w:tcW w:type="dxa" w:w="2493"/>
            <w:shd w:fill="FFB3B3" w:val="clear"/>
          </w:tcPr>
          <w:p>
            <w:pPr>
              <w:spacing w:after="0"/>
            </w:pPr>
            <w:r/>
            <w:r>
              <w:rPr>
                <w:b/>
                <w:i w:val="0"/>
                <w:sz w:val="16"/>
              </w:rPr>
              <w:t>STRING / CHAR(18)</w:t>
            </w:r>
          </w:p>
        </w:tc>
        <w:tc>
          <w:tcPr>
            <w:tcW w:type="dxa" w:w="2493"/>
          </w:tcPr>
          <w:p>
            <w:pPr>
              <w:spacing w:after="0"/>
            </w:pPr>
            <w:r/>
            <w:r>
              <w:rPr>
                <w:b w:val="0"/>
                <w:i w:val="0"/>
                <w:sz w:val="16"/>
              </w:rPr>
              <w:t>TIMESTAMP (!)</w:t>
            </w:r>
          </w:p>
        </w:tc>
        <w:tc>
          <w:tcPr>
            <w:tcW w:type="dxa" w:w="2493"/>
            <w:shd w:fill="E2EFDA" w:val="clear"/>
          </w:tcPr>
          <w:p>
            <w:pPr>
              <w:spacing w:after="0"/>
            </w:pPr>
            <w:r/>
            <w:r>
              <w:rPr>
                <w:b/>
                <w:i w:val="0"/>
                <w:sz w:val="16"/>
              </w:rPr>
              <w:t>VARCHAR(20) with FK to Reference table</w:t>
            </w:r>
          </w:p>
        </w:tc>
      </w:tr>
      <w:tr>
        <w:tc>
          <w:tcPr>
            <w:tcW w:type="dxa" w:w="2493"/>
          </w:tcPr>
          <w:p>
            <w:pPr>
              <w:spacing w:after="0"/>
            </w:pPr>
            <w:r/>
            <w:r>
              <w:rPr>
                <w:b w:val="0"/>
                <w:i w:val="0"/>
                <w:sz w:val="16"/>
              </w:rPr>
              <w:t>Date fields (open date, close date, maturity)</w:t>
            </w:r>
          </w:p>
        </w:tc>
        <w:tc>
          <w:tcPr>
            <w:tcW w:type="dxa" w:w="2493"/>
            <w:shd w:fill="FFB3B3" w:val="clear"/>
          </w:tcPr>
          <w:p>
            <w:pPr>
              <w:spacing w:after="0"/>
            </w:pPr>
            <w:r/>
            <w:r>
              <w:rPr>
                <w:b/>
                <w:i w:val="0"/>
                <w:sz w:val="16"/>
              </w:rPr>
              <w:t>STRING</w:t>
            </w:r>
          </w:p>
        </w:tc>
        <w:tc>
          <w:tcPr>
            <w:tcW w:type="dxa" w:w="2493"/>
          </w:tcPr>
          <w:p>
            <w:pPr>
              <w:spacing w:after="0"/>
            </w:pPr>
            <w:r/>
            <w:r>
              <w:rPr>
                <w:b w:val="0"/>
                <w:i w:val="0"/>
                <w:sz w:val="16"/>
              </w:rPr>
              <w:t>TIMESTAMP</w:t>
            </w:r>
          </w:p>
        </w:tc>
        <w:tc>
          <w:tcPr>
            <w:tcW w:type="dxa" w:w="2493"/>
            <w:shd w:fill="E2EFDA" w:val="clear"/>
          </w:tcPr>
          <w:p>
            <w:pPr>
              <w:spacing w:after="0"/>
            </w:pPr>
            <w:r/>
            <w:r>
              <w:rPr>
                <w:b/>
                <w:i w:val="0"/>
                <w:sz w:val="16"/>
              </w:rPr>
              <w:t>DATE — dates without time component</w:t>
            </w:r>
          </w:p>
        </w:tc>
      </w:tr>
      <w:tr>
        <w:tc>
          <w:tcPr>
            <w:tcW w:type="dxa" w:w="2493"/>
          </w:tcPr>
          <w:p>
            <w:pPr>
              <w:spacing w:after="0"/>
            </w:pPr>
            <w:r/>
            <w:r>
              <w:rPr>
                <w:b w:val="0"/>
                <w:i w:val="0"/>
                <w:sz w:val="16"/>
              </w:rPr>
              <w:t>Timestamp fields (create_date, transaction_time)</w:t>
            </w:r>
          </w:p>
        </w:tc>
        <w:tc>
          <w:tcPr>
            <w:tcW w:type="dxa" w:w="2493"/>
            <w:shd w:fill="FFB3B3" w:val="clear"/>
          </w:tcPr>
          <w:p>
            <w:pPr>
              <w:spacing w:after="0"/>
            </w:pPr>
            <w:r/>
            <w:r>
              <w:rPr>
                <w:b/>
                <w:i w:val="0"/>
                <w:sz w:val="16"/>
              </w:rPr>
              <w:t>CHAR(18)</w:t>
            </w:r>
          </w:p>
        </w:tc>
        <w:tc>
          <w:tcPr>
            <w:tcW w:type="dxa" w:w="2493"/>
          </w:tcPr>
          <w:p>
            <w:pPr>
              <w:spacing w:after="0"/>
            </w:pPr>
            <w:r/>
            <w:r>
              <w:rPr>
                <w:b w:val="0"/>
                <w:i w:val="0"/>
                <w:sz w:val="16"/>
              </w:rPr>
              <w:t>TIMESTAMP</w:t>
            </w:r>
          </w:p>
        </w:tc>
        <w:tc>
          <w:tcPr>
            <w:tcW w:type="dxa" w:w="2493"/>
            <w:shd w:fill="E2EFDA" w:val="clear"/>
          </w:tcPr>
          <w:p>
            <w:pPr>
              <w:spacing w:after="0"/>
            </w:pPr>
            <w:r/>
            <w:r>
              <w:rPr>
                <w:b/>
                <w:i w:val="0"/>
                <w:sz w:val="16"/>
              </w:rPr>
              <w:t>TIMESTAMP WITH TIME ZONE — for cross-timezone consistency</w:t>
            </w:r>
          </w:p>
        </w:tc>
      </w:tr>
      <w:tr>
        <w:tc>
          <w:tcPr>
            <w:tcW w:type="dxa" w:w="2493"/>
          </w:tcPr>
          <w:p>
            <w:pPr>
              <w:spacing w:after="0"/>
            </w:pPr>
            <w:r/>
            <w:r>
              <w:rPr>
                <w:b w:val="0"/>
                <w:i w:val="0"/>
                <w:sz w:val="16"/>
              </w:rPr>
              <w:t>Flag fields (is_active, conventional_islamic_flag)</w:t>
            </w:r>
          </w:p>
        </w:tc>
        <w:tc>
          <w:tcPr>
            <w:tcW w:type="dxa" w:w="2493"/>
            <w:shd w:fill="FFB3B3" w:val="clear"/>
          </w:tcPr>
          <w:p>
            <w:pPr>
              <w:spacing w:after="0"/>
            </w:pPr>
            <w:r/>
            <w:r>
              <w:rPr>
                <w:b/>
                <w:i w:val="0"/>
                <w:sz w:val="16"/>
              </w:rPr>
              <w:t>STRING</w:t>
            </w:r>
          </w:p>
        </w:tc>
        <w:tc>
          <w:tcPr>
            <w:tcW w:type="dxa" w:w="2493"/>
          </w:tcPr>
          <w:p>
            <w:pPr>
              <w:spacing w:after="0"/>
            </w:pPr>
            <w:r/>
            <w:r>
              <w:rPr>
                <w:b w:val="0"/>
                <w:i w:val="0"/>
                <w:sz w:val="16"/>
              </w:rPr>
              <w:t>STRING / TIMESTAMP</w:t>
            </w:r>
          </w:p>
        </w:tc>
        <w:tc>
          <w:tcPr>
            <w:tcW w:type="dxa" w:w="2493"/>
            <w:shd w:fill="E2EFDA" w:val="clear"/>
          </w:tcPr>
          <w:p>
            <w:pPr>
              <w:spacing w:after="0"/>
            </w:pPr>
            <w:r/>
            <w:r>
              <w:rPr>
                <w:b/>
                <w:i w:val="0"/>
                <w:sz w:val="16"/>
              </w:rPr>
              <w:t>BOOLEAN</w:t>
            </w:r>
          </w:p>
        </w:tc>
      </w:tr>
      <w:tr>
        <w:tc>
          <w:tcPr>
            <w:tcW w:type="dxa" w:w="2493"/>
          </w:tcPr>
          <w:p>
            <w:pPr>
              <w:spacing w:after="0"/>
            </w:pPr>
            <w:r/>
            <w:r>
              <w:rPr>
                <w:b w:val="0"/>
                <w:i w:val="0"/>
                <w:sz w:val="16"/>
              </w:rPr>
              <w:t>Rate fields (interest_rate, vat_rate)</w:t>
            </w:r>
          </w:p>
        </w:tc>
        <w:tc>
          <w:tcPr>
            <w:tcW w:type="dxa" w:w="2493"/>
            <w:shd w:fill="FFB3B3" w:val="clear"/>
          </w:tcPr>
          <w:p>
            <w:pPr>
              <w:spacing w:after="0"/>
            </w:pPr>
            <w:r/>
            <w:r>
              <w:rPr>
                <w:b/>
                <w:i w:val="0"/>
                <w:sz w:val="16"/>
              </w:rPr>
              <w:t>STRING</w:t>
            </w:r>
          </w:p>
        </w:tc>
        <w:tc>
          <w:tcPr>
            <w:tcW w:type="dxa" w:w="2493"/>
          </w:tcPr>
          <w:p>
            <w:pPr>
              <w:spacing w:after="0"/>
            </w:pPr>
            <w:r/>
            <w:r>
              <w:rPr>
                <w:b w:val="0"/>
                <w:i w:val="0"/>
                <w:sz w:val="16"/>
              </w:rPr>
              <w:t>DECIMAL(22,6)</w:t>
            </w:r>
          </w:p>
        </w:tc>
        <w:tc>
          <w:tcPr>
            <w:tcW w:type="dxa" w:w="2493"/>
            <w:shd w:fill="E2EFDA" w:val="clear"/>
          </w:tcPr>
          <w:p>
            <w:pPr>
              <w:spacing w:after="0"/>
            </w:pPr>
            <w:r/>
            <w:r>
              <w:rPr>
                <w:b/>
                <w:i w:val="0"/>
                <w:sz w:val="16"/>
              </w:rPr>
              <w:t>DECIMAL(10,6) — supports up to 9.999999% precision</w:t>
            </w:r>
          </w:p>
        </w:tc>
      </w:tr>
      <w:tr>
        <w:tc>
          <w:tcPr>
            <w:tcW w:type="dxa" w:w="2493"/>
          </w:tcPr>
          <w:p>
            <w:pPr>
              <w:spacing w:after="0"/>
            </w:pPr>
            <w:r/>
            <w:r>
              <w:rPr>
                <w:b w:val="0"/>
                <w:i w:val="0"/>
                <w:sz w:val="16"/>
              </w:rPr>
              <w:t>Count fields (days_past_due_count)</w:t>
            </w:r>
          </w:p>
        </w:tc>
        <w:tc>
          <w:tcPr>
            <w:tcW w:type="dxa" w:w="2493"/>
            <w:shd w:fill="FFB3B3" w:val="clear"/>
          </w:tcPr>
          <w:p>
            <w:pPr>
              <w:spacing w:after="0"/>
            </w:pPr>
            <w:r/>
            <w:r>
              <w:rPr>
                <w:b/>
                <w:i w:val="0"/>
                <w:sz w:val="16"/>
              </w:rPr>
              <w:t>STRING</w:t>
            </w:r>
          </w:p>
        </w:tc>
        <w:tc>
          <w:tcPr>
            <w:tcW w:type="dxa" w:w="2493"/>
          </w:tcPr>
          <w:p>
            <w:pPr>
              <w:spacing w:after="0"/>
            </w:pPr>
            <w:r/>
            <w:r>
              <w:rPr>
                <w:b w:val="0"/>
                <w:i w:val="0"/>
                <w:sz w:val="16"/>
              </w:rPr>
              <w:t>STRING</w:t>
            </w:r>
          </w:p>
        </w:tc>
        <w:tc>
          <w:tcPr>
            <w:tcW w:type="dxa" w:w="2493"/>
            <w:shd w:fill="E2EFDA" w:val="clear"/>
          </w:tcPr>
          <w:p>
            <w:pPr>
              <w:spacing w:after="0"/>
            </w:pPr>
            <w:r/>
            <w:r>
              <w:rPr>
                <w:b/>
                <w:i w:val="0"/>
                <w:sz w:val="16"/>
              </w:rPr>
              <w:t>INTEGER</w:t>
            </w:r>
          </w:p>
        </w:tc>
      </w:tr>
      <w:tr>
        <w:tc>
          <w:tcPr>
            <w:tcW w:type="dxa" w:w="2493"/>
          </w:tcPr>
          <w:p>
            <w:pPr>
              <w:spacing w:after="0"/>
            </w:pPr>
            <w:r/>
            <w:r>
              <w:rPr>
                <w:b w:val="0"/>
                <w:i w:val="0"/>
                <w:sz w:val="16"/>
              </w:rPr>
              <w:t>Percentage fields (total_liability_pcnt)</w:t>
            </w:r>
          </w:p>
        </w:tc>
        <w:tc>
          <w:tcPr>
            <w:tcW w:type="dxa" w:w="2493"/>
            <w:shd w:fill="FFB3B3" w:val="clear"/>
          </w:tcPr>
          <w:p>
            <w:pPr>
              <w:spacing w:after="0"/>
            </w:pPr>
            <w:r/>
            <w:r>
              <w:rPr>
                <w:b/>
                <w:i w:val="0"/>
                <w:sz w:val="16"/>
              </w:rPr>
              <w:t>STRING</w:t>
            </w:r>
          </w:p>
        </w:tc>
        <w:tc>
          <w:tcPr>
            <w:tcW w:type="dxa" w:w="2493"/>
          </w:tcPr>
          <w:p>
            <w:pPr>
              <w:spacing w:after="0"/>
            </w:pPr>
            <w:r/>
            <w:r>
              <w:rPr>
                <w:b w:val="0"/>
                <w:i w:val="0"/>
                <w:sz w:val="16"/>
              </w:rPr>
              <w:t>STRING</w:t>
            </w:r>
          </w:p>
        </w:tc>
        <w:tc>
          <w:tcPr>
            <w:tcW w:type="dxa" w:w="2493"/>
            <w:shd w:fill="E2EFDA" w:val="clear"/>
          </w:tcPr>
          <w:p>
            <w:pPr>
              <w:spacing w:after="0"/>
            </w:pPr>
            <w:r/>
            <w:r>
              <w:rPr>
                <w:b/>
                <w:i w:val="0"/>
                <w:sz w:val="16"/>
              </w:rPr>
              <w:t>DECIMAL(6,4) — supports 100.0000%</w:t>
            </w:r>
          </w:p>
        </w:tc>
      </w:tr>
      <w:tr>
        <w:tc>
          <w:tcPr>
            <w:tcW w:type="dxa" w:w="2493"/>
          </w:tcPr>
          <w:p>
            <w:pPr>
              <w:spacing w:after="0"/>
            </w:pPr>
            <w:r/>
            <w:r>
              <w:rPr>
                <w:b w:val="0"/>
                <w:i w:val="0"/>
                <w:sz w:val="16"/>
              </w:rPr>
              <w:t>SCD date fields (Business_Start_Date, Business_End_Date)</w:t>
            </w:r>
          </w:p>
        </w:tc>
        <w:tc>
          <w:tcPr>
            <w:tcW w:type="dxa" w:w="2493"/>
            <w:shd w:fill="FFB3B3" w:val="clear"/>
          </w:tcPr>
          <w:p>
            <w:pPr>
              <w:spacing w:after="0"/>
            </w:pPr>
            <w:r/>
            <w:r>
              <w:rPr>
                <w:b/>
                <w:i w:val="0"/>
                <w:sz w:val="16"/>
              </w:rPr>
              <w:t>CHAR(18)</w:t>
            </w:r>
          </w:p>
        </w:tc>
        <w:tc>
          <w:tcPr>
            <w:tcW w:type="dxa" w:w="2493"/>
          </w:tcPr>
          <w:p>
            <w:pPr>
              <w:spacing w:after="0"/>
            </w:pPr>
            <w:r/>
            <w:r>
              <w:rPr>
                <w:b w:val="0"/>
                <w:i w:val="0"/>
                <w:sz w:val="16"/>
              </w:rPr>
              <w:t>TIMESTAMP</w:t>
            </w:r>
          </w:p>
        </w:tc>
        <w:tc>
          <w:tcPr>
            <w:tcW w:type="dxa" w:w="2493"/>
            <w:shd w:fill="E2EFDA" w:val="clear"/>
          </w:tcPr>
          <w:p>
            <w:pPr>
              <w:spacing w:after="0"/>
            </w:pPr>
            <w:r/>
            <w:r>
              <w:rPr>
                <w:b/>
                <w:i w:val="0"/>
                <w:sz w:val="16"/>
              </w:rPr>
              <w:t>DATE — for business effective dates; TIMESTAMP for audit dates</w:t>
            </w:r>
          </w:p>
        </w:tc>
      </w:tr>
      <w:tr>
        <w:tc>
          <w:tcPr>
            <w:tcW w:type="dxa" w:w="2493"/>
          </w:tcPr>
          <w:p>
            <w:pPr>
              <w:spacing w:after="0"/>
            </w:pPr>
            <w:r/>
            <w:r>
              <w:rPr>
                <w:b w:val="0"/>
                <w:i w:val="0"/>
                <w:sz w:val="16"/>
              </w:rPr>
              <w:t>Code/identifier fields (currency_code, country_code)</w:t>
            </w:r>
          </w:p>
        </w:tc>
        <w:tc>
          <w:tcPr>
            <w:tcW w:type="dxa" w:w="2493"/>
            <w:shd w:fill="FFB3B3" w:val="clear"/>
          </w:tcPr>
          <w:p>
            <w:pPr>
              <w:spacing w:after="0"/>
            </w:pPr>
            <w:r/>
            <w:r>
              <w:rPr>
                <w:b/>
                <w:i w:val="0"/>
                <w:sz w:val="16"/>
              </w:rPr>
              <w:t>STRING</w:t>
            </w:r>
          </w:p>
        </w:tc>
        <w:tc>
          <w:tcPr>
            <w:tcW w:type="dxa" w:w="2493"/>
          </w:tcPr>
          <w:p>
            <w:pPr>
              <w:spacing w:after="0"/>
            </w:pPr>
            <w:r/>
            <w:r>
              <w:rPr>
                <w:b w:val="0"/>
                <w:i w:val="0"/>
                <w:sz w:val="16"/>
              </w:rPr>
              <w:t>STRING</w:t>
            </w:r>
          </w:p>
        </w:tc>
        <w:tc>
          <w:tcPr>
            <w:tcW w:type="dxa" w:w="2493"/>
            <w:shd w:fill="E2EFDA" w:val="clear"/>
          </w:tcPr>
          <w:p>
            <w:pPr>
              <w:spacing w:after="0"/>
            </w:pPr>
            <w:r/>
            <w:r>
              <w:rPr>
                <w:b/>
                <w:i w:val="0"/>
                <w:sz w:val="16"/>
              </w:rPr>
              <w:t>VARCHAR(3) for ISO codes — bounded length</w:t>
            </w:r>
          </w:p>
        </w:tc>
      </w:tr>
      <w:tr>
        <w:tc>
          <w:tcPr>
            <w:tcW w:type="dxa" w:w="2493"/>
          </w:tcPr>
          <w:p>
            <w:pPr>
              <w:spacing w:after="0"/>
            </w:pPr>
            <w:r/>
            <w:r>
              <w:rPr>
                <w:b w:val="0"/>
                <w:i w:val="0"/>
                <w:sz w:val="16"/>
              </w:rPr>
              <w:t>Branch_id, GL_account_id</w:t>
            </w:r>
          </w:p>
        </w:tc>
        <w:tc>
          <w:tcPr>
            <w:tcW w:type="dxa" w:w="2493"/>
            <w:shd w:fill="FFB3B3" w:val="clear"/>
          </w:tcPr>
          <w:p>
            <w:pPr>
              <w:spacing w:after="0"/>
            </w:pPr>
            <w:r/>
            <w:r>
              <w:rPr>
                <w:b/>
                <w:i w:val="0"/>
                <w:sz w:val="16"/>
              </w:rPr>
              <w:t>CHAR(18) / DECIMAL(19,4)</w:t>
            </w:r>
          </w:p>
        </w:tc>
        <w:tc>
          <w:tcPr>
            <w:tcW w:type="dxa" w:w="2493"/>
          </w:tcPr>
          <w:p>
            <w:pPr>
              <w:spacing w:after="0"/>
            </w:pPr>
            <w:r/>
            <w:r>
              <w:rPr>
                <w:b w:val="0"/>
                <w:i w:val="0"/>
                <w:sz w:val="16"/>
              </w:rPr>
              <w:t>DECIMAL(19,4)</w:t>
            </w:r>
          </w:p>
        </w:tc>
        <w:tc>
          <w:tcPr>
            <w:tcW w:type="dxa" w:w="2493"/>
            <w:shd w:fill="E2EFDA" w:val="clear"/>
          </w:tcPr>
          <w:p>
            <w:pPr>
              <w:spacing w:after="0"/>
            </w:pPr>
            <w:r/>
            <w:r>
              <w:rPr>
                <w:b/>
                <w:i w:val="0"/>
                <w:sz w:val="16"/>
              </w:rPr>
              <w:t>VARCHAR(20) or INTEGER — not DECIMAL for non-numeric IDs</w:t>
            </w:r>
          </w:p>
        </w:tc>
      </w:tr>
      <w:tr>
        <w:tc>
          <w:tcPr>
            <w:tcW w:type="dxa" w:w="2493"/>
          </w:tcPr>
          <w:p>
            <w:pPr>
              <w:spacing w:after="0"/>
            </w:pPr>
            <w:r/>
            <w:r>
              <w:rPr>
                <w:b w:val="0"/>
                <w:i w:val="0"/>
                <w:sz w:val="16"/>
              </w:rPr>
              <w:t>External reference numbers (IBAN, SWIFT)</w:t>
            </w:r>
          </w:p>
        </w:tc>
        <w:tc>
          <w:tcPr>
            <w:tcW w:type="dxa" w:w="2493"/>
            <w:shd w:fill="FFB3B3" w:val="clear"/>
          </w:tcPr>
          <w:p>
            <w:pPr>
              <w:spacing w:after="0"/>
            </w:pPr>
            <w:r/>
            <w:r>
              <w:rPr>
                <w:b/>
                <w:i w:val="0"/>
                <w:sz w:val="16"/>
              </w:rPr>
              <w:t>STRING</w:t>
            </w:r>
          </w:p>
        </w:tc>
        <w:tc>
          <w:tcPr>
            <w:tcW w:type="dxa" w:w="2493"/>
          </w:tcPr>
          <w:p>
            <w:pPr>
              <w:spacing w:after="0"/>
            </w:pPr>
            <w:r/>
            <w:r>
              <w:rPr>
                <w:b w:val="0"/>
                <w:i w:val="0"/>
                <w:sz w:val="16"/>
              </w:rPr>
              <w:t>STRING</w:t>
            </w:r>
          </w:p>
        </w:tc>
        <w:tc>
          <w:tcPr>
            <w:tcW w:type="dxa" w:w="2493"/>
            <w:shd w:fill="E2EFDA" w:val="clear"/>
          </w:tcPr>
          <w:p>
            <w:pPr>
              <w:spacing w:after="0"/>
            </w:pPr>
            <w:r/>
            <w:r>
              <w:rPr>
                <w:b/>
                <w:i w:val="0"/>
                <w:sz w:val="16"/>
              </w:rPr>
              <w:t>VARCHAR(34) for IBAN, VARCHAR(11) for BIC — ISO standard lengths</w:t>
            </w:r>
          </w:p>
        </w:tc>
      </w:tr>
    </w:tbl>
    <w:p>
      <w:r>
        <w:br w:type="page"/>
      </w:r>
    </w:p>
    <w:p>
      <w:pPr>
        <w:pStyle w:val="Heading1"/>
      </w:pPr>
      <w:r>
        <w:t>6. Coverage Gaps — Missing Subject Areas and Entities</w:t>
      </w:r>
    </w:p>
    <w:p>
      <w:r>
        <w:t>The following subject areas, required for a mature banking silver analytical model at RAKBANK's scale and regulatory context, are absent or critically under-represented.</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1F3864" w:val="clear"/>
          </w:tcPr>
          <w:p>
            <w:pPr>
              <w:spacing w:after="0"/>
            </w:pPr>
            <w:r/>
            <w:r>
              <w:rPr>
                <w:b/>
                <w:i w:val="0"/>
                <w:color w:val="FFFFFF"/>
                <w:sz w:val="16"/>
              </w:rPr>
              <w:t>Gap ID</w:t>
            </w:r>
          </w:p>
        </w:tc>
        <w:tc>
          <w:tcPr>
            <w:tcW w:type="dxa" w:w="1994"/>
            <w:shd w:fill="1F3864" w:val="clear"/>
          </w:tcPr>
          <w:p>
            <w:pPr>
              <w:spacing w:after="0"/>
            </w:pPr>
            <w:r/>
            <w:r>
              <w:rPr>
                <w:b/>
                <w:i w:val="0"/>
                <w:color w:val="FFFFFF"/>
                <w:sz w:val="16"/>
              </w:rPr>
              <w:t>Missing Area</w:t>
            </w:r>
          </w:p>
        </w:tc>
        <w:tc>
          <w:tcPr>
            <w:tcW w:type="dxa" w:w="1994"/>
            <w:shd w:fill="1F3864" w:val="clear"/>
          </w:tcPr>
          <w:p>
            <w:pPr>
              <w:spacing w:after="0"/>
            </w:pPr>
            <w:r/>
            <w:r>
              <w:rPr>
                <w:b/>
                <w:i w:val="0"/>
                <w:color w:val="FFFFFF"/>
                <w:sz w:val="16"/>
              </w:rPr>
              <w:t>Business Criticality</w:t>
            </w:r>
          </w:p>
        </w:tc>
        <w:tc>
          <w:tcPr>
            <w:tcW w:type="dxa" w:w="1994"/>
            <w:shd w:fill="1F3864" w:val="clear"/>
          </w:tcPr>
          <w:p>
            <w:pPr>
              <w:spacing w:after="0"/>
            </w:pPr>
            <w:r/>
            <w:r>
              <w:rPr>
                <w:b/>
                <w:i w:val="0"/>
                <w:color w:val="FFFFFF"/>
                <w:sz w:val="16"/>
              </w:rPr>
              <w:t>Regulatory Driver</w:t>
            </w:r>
          </w:p>
        </w:tc>
        <w:tc>
          <w:tcPr>
            <w:tcW w:type="dxa" w:w="1994"/>
            <w:shd w:fill="1F3864" w:val="clear"/>
          </w:tcPr>
          <w:p>
            <w:pPr>
              <w:spacing w:after="0"/>
            </w:pPr>
            <w:r/>
            <w:r>
              <w:rPr>
                <w:b/>
                <w:i w:val="0"/>
                <w:color w:val="FFFFFF"/>
                <w:sz w:val="16"/>
              </w:rPr>
              <w:t>Recommended Core Entities</w:t>
            </w:r>
          </w:p>
        </w:tc>
      </w:tr>
      <w:tr>
        <w:tc>
          <w:tcPr>
            <w:tcW w:type="dxa" w:w="1994"/>
          </w:tcPr>
          <w:p>
            <w:pPr>
              <w:spacing w:after="0"/>
            </w:pPr>
            <w:r/>
            <w:r>
              <w:rPr>
                <w:b/>
                <w:i w:val="0"/>
                <w:sz w:val="16"/>
              </w:rPr>
              <w:t>GAP-01</w:t>
            </w:r>
          </w:p>
        </w:tc>
        <w:tc>
          <w:tcPr>
            <w:tcW w:type="dxa" w:w="1994"/>
          </w:tcPr>
          <w:p>
            <w:pPr>
              <w:spacing w:after="0"/>
            </w:pPr>
            <w:r/>
            <w:r>
              <w:rPr>
                <w:b/>
                <w:i w:val="0"/>
                <w:sz w:val="16"/>
              </w:rPr>
              <w:t>Payments &amp; Clearing</w:t>
              <w:br/>
              <w:t>(ISO 20022 / AANI / FAWRI)</w:t>
            </w:r>
          </w:p>
        </w:tc>
        <w:tc>
          <w:tcPr>
            <w:tcW w:type="dxa" w:w="1994"/>
            <w:shd w:fill="FFB3B3" w:val="clear"/>
          </w:tcPr>
          <w:p>
            <w:pPr>
              <w:spacing w:after="0"/>
            </w:pPr>
            <w:r/>
            <w:r>
              <w:rPr>
                <w:b/>
                <w:i w:val="0"/>
                <w:sz w:val="16"/>
              </w:rPr>
              <w:t>CRITICAL</w:t>
            </w:r>
          </w:p>
        </w:tc>
        <w:tc>
          <w:tcPr>
            <w:tcW w:type="dxa" w:w="1994"/>
          </w:tcPr>
          <w:p>
            <w:pPr>
              <w:spacing w:after="0"/>
            </w:pPr>
            <w:r/>
            <w:r>
              <w:rPr>
                <w:b w:val="0"/>
                <w:i w:val="0"/>
                <w:sz w:val="16"/>
              </w:rPr>
              <w:t>CBUAE Payment Regulations, SWIFT ISO 20022 migration, UAE Instant Payment Platform (AANI)</w:t>
            </w:r>
          </w:p>
        </w:tc>
        <w:tc>
          <w:tcPr>
            <w:tcW w:type="dxa" w:w="1994"/>
          </w:tcPr>
          <w:p>
            <w:pPr>
              <w:spacing w:after="0"/>
            </w:pPr>
            <w:r/>
            <w:r>
              <w:rPr>
                <w:b w:val="0"/>
                <w:i w:val="0"/>
                <w:sz w:val="14"/>
              </w:rPr>
              <w:t>Payment_Instruction, Real_Time_Payment, SWIFT_Message, Clearing_Settlement_Record, Nostro_Vostro_Position, Payment_Return</w:t>
            </w:r>
          </w:p>
        </w:tc>
      </w:tr>
      <w:tr>
        <w:tc>
          <w:tcPr>
            <w:tcW w:type="dxa" w:w="1994"/>
          </w:tcPr>
          <w:p>
            <w:pPr>
              <w:spacing w:after="0"/>
            </w:pPr>
            <w:r/>
            <w:r>
              <w:rPr>
                <w:b/>
                <w:i w:val="0"/>
                <w:sz w:val="16"/>
              </w:rPr>
              <w:t>GAP-02</w:t>
            </w:r>
          </w:p>
        </w:tc>
        <w:tc>
          <w:tcPr>
            <w:tcW w:type="dxa" w:w="1994"/>
          </w:tcPr>
          <w:p>
            <w:pPr>
              <w:spacing w:after="0"/>
            </w:pPr>
            <w:r/>
            <w:r>
              <w:rPr>
                <w:b/>
                <w:i w:val="0"/>
                <w:sz w:val="16"/>
              </w:rPr>
              <w:t>Product Catalog</w:t>
              <w:br/>
              <w:t>(0 entities currently)</w:t>
            </w:r>
          </w:p>
        </w:tc>
        <w:tc>
          <w:tcPr>
            <w:tcW w:type="dxa" w:w="1994"/>
            <w:shd w:fill="FFB3B3" w:val="clear"/>
          </w:tcPr>
          <w:p>
            <w:pPr>
              <w:spacing w:after="0"/>
            </w:pPr>
            <w:r/>
            <w:r>
              <w:rPr>
                <w:b/>
                <w:i w:val="0"/>
                <w:sz w:val="16"/>
              </w:rPr>
              <w:t>CRITICAL</w:t>
            </w:r>
          </w:p>
        </w:tc>
        <w:tc>
          <w:tcPr>
            <w:tcW w:type="dxa" w:w="1994"/>
          </w:tcPr>
          <w:p>
            <w:pPr>
              <w:spacing w:after="0"/>
            </w:pPr>
            <w:r/>
            <w:r>
              <w:rPr>
                <w:b w:val="0"/>
                <w:i w:val="0"/>
                <w:sz w:val="16"/>
              </w:rPr>
              <w:t>Internal governance — all product analytics depend on a product hierarchy</w:t>
            </w:r>
          </w:p>
        </w:tc>
        <w:tc>
          <w:tcPr>
            <w:tcW w:type="dxa" w:w="1994"/>
          </w:tcPr>
          <w:p>
            <w:pPr>
              <w:spacing w:after="0"/>
            </w:pPr>
            <w:r/>
            <w:r>
              <w:rPr>
                <w:b w:val="0"/>
                <w:i w:val="0"/>
                <w:sz w:val="14"/>
              </w:rPr>
              <w:t>Product_Family, Product_Type, Product, Product_Feature, Product_Pricing, Product_Eligibility_Rule, Product_Islamic_Variant</w:t>
            </w:r>
          </w:p>
        </w:tc>
      </w:tr>
      <w:tr>
        <w:tc>
          <w:tcPr>
            <w:tcW w:type="dxa" w:w="1994"/>
          </w:tcPr>
          <w:p>
            <w:pPr>
              <w:spacing w:after="0"/>
            </w:pPr>
            <w:r/>
            <w:r>
              <w:rPr>
                <w:b/>
                <w:i w:val="0"/>
                <w:sz w:val="16"/>
              </w:rPr>
              <w:t>GAP-03</w:t>
            </w:r>
          </w:p>
        </w:tc>
        <w:tc>
          <w:tcPr>
            <w:tcW w:type="dxa" w:w="1994"/>
          </w:tcPr>
          <w:p>
            <w:pPr>
              <w:spacing w:after="0"/>
            </w:pPr>
            <w:r/>
            <w:r>
              <w:rPr>
                <w:b/>
                <w:i w:val="0"/>
                <w:sz w:val="16"/>
              </w:rPr>
              <w:t>Treasury &amp; ALM</w:t>
              <w:br/>
              <w:t>(Asset-Liability Management)</w:t>
            </w:r>
          </w:p>
        </w:tc>
        <w:tc>
          <w:tcPr>
            <w:tcW w:type="dxa" w:w="1994"/>
            <w:shd w:fill="FFB3B3" w:val="clear"/>
          </w:tcPr>
          <w:p>
            <w:pPr>
              <w:spacing w:after="0"/>
            </w:pPr>
            <w:r/>
            <w:r>
              <w:rPr>
                <w:b/>
                <w:i w:val="0"/>
                <w:sz w:val="16"/>
              </w:rPr>
              <w:t>CRITICAL</w:t>
            </w:r>
          </w:p>
        </w:tc>
        <w:tc>
          <w:tcPr>
            <w:tcW w:type="dxa" w:w="1994"/>
          </w:tcPr>
          <w:p>
            <w:pPr>
              <w:spacing w:after="0"/>
            </w:pPr>
            <w:r/>
            <w:r>
              <w:rPr>
                <w:b w:val="0"/>
                <w:i w:val="0"/>
                <w:sz w:val="16"/>
              </w:rPr>
              <w:t>Basel III Pillar 2, IFRS 9 — IRRBB, LCR, NSFR, FTP</w:t>
            </w:r>
          </w:p>
        </w:tc>
        <w:tc>
          <w:tcPr>
            <w:tcW w:type="dxa" w:w="1994"/>
          </w:tcPr>
          <w:p>
            <w:pPr>
              <w:spacing w:after="0"/>
            </w:pPr>
            <w:r/>
            <w:r>
              <w:rPr>
                <w:b w:val="0"/>
                <w:i w:val="0"/>
                <w:sz w:val="14"/>
              </w:rPr>
              <w:t>ALM_Position, Fund_Transfer_Price, Interest_Rate_Gap, Liquidity_Gap, Hedge_Relationship, Hedging_Instrument</w:t>
            </w:r>
          </w:p>
        </w:tc>
      </w:tr>
      <w:tr>
        <w:tc>
          <w:tcPr>
            <w:tcW w:type="dxa" w:w="1994"/>
          </w:tcPr>
          <w:p>
            <w:pPr>
              <w:spacing w:after="0"/>
            </w:pPr>
            <w:r/>
            <w:r>
              <w:rPr>
                <w:b/>
                <w:i w:val="0"/>
                <w:sz w:val="16"/>
              </w:rPr>
              <w:t>GAP-04</w:t>
            </w:r>
          </w:p>
        </w:tc>
        <w:tc>
          <w:tcPr>
            <w:tcW w:type="dxa" w:w="1994"/>
          </w:tcPr>
          <w:p>
            <w:pPr>
              <w:spacing w:after="0"/>
            </w:pPr>
            <w:r/>
            <w:r>
              <w:rPr>
                <w:b/>
                <w:i w:val="0"/>
                <w:sz w:val="16"/>
              </w:rPr>
              <w:t>AML / Compliance</w:t>
              <w:br/>
              <w:t>(Anti-Money Laundering)</w:t>
            </w:r>
          </w:p>
        </w:tc>
        <w:tc>
          <w:tcPr>
            <w:tcW w:type="dxa" w:w="1994"/>
            <w:shd w:fill="FFB3B3" w:val="clear"/>
          </w:tcPr>
          <w:p>
            <w:pPr>
              <w:spacing w:after="0"/>
            </w:pPr>
            <w:r/>
            <w:r>
              <w:rPr>
                <w:b/>
                <w:i w:val="0"/>
                <w:sz w:val="16"/>
              </w:rPr>
              <w:t>CRITICAL</w:t>
            </w:r>
          </w:p>
        </w:tc>
        <w:tc>
          <w:tcPr>
            <w:tcW w:type="dxa" w:w="1994"/>
          </w:tcPr>
          <w:p>
            <w:pPr>
              <w:spacing w:after="0"/>
            </w:pPr>
            <w:r/>
            <w:r>
              <w:rPr>
                <w:b w:val="0"/>
                <w:i w:val="0"/>
                <w:sz w:val="16"/>
              </w:rPr>
              <w:t>UAE Federal Decree-Law No. 20/2018, FATF, CBUAE AML/CFT Guidelines</w:t>
            </w:r>
          </w:p>
        </w:tc>
        <w:tc>
          <w:tcPr>
            <w:tcW w:type="dxa" w:w="1994"/>
          </w:tcPr>
          <w:p>
            <w:pPr>
              <w:spacing w:after="0"/>
            </w:pPr>
            <w:r/>
            <w:r>
              <w:rPr>
                <w:b w:val="0"/>
                <w:i w:val="0"/>
                <w:sz w:val="14"/>
              </w:rPr>
              <w:t>AML_Alert, AML_Case, SAR_STR_Report, Sanction_Screening_Result, Watchlist_Entity, Customer_Risk_Score_AML, Threshold_Rule</w:t>
            </w:r>
          </w:p>
        </w:tc>
      </w:tr>
      <w:tr>
        <w:tc>
          <w:tcPr>
            <w:tcW w:type="dxa" w:w="1994"/>
          </w:tcPr>
          <w:p>
            <w:pPr>
              <w:spacing w:after="0"/>
            </w:pPr>
            <w:r/>
            <w:r>
              <w:rPr>
                <w:b/>
                <w:i w:val="0"/>
                <w:sz w:val="16"/>
              </w:rPr>
              <w:t>GAP-05</w:t>
            </w:r>
          </w:p>
        </w:tc>
        <w:tc>
          <w:tcPr>
            <w:tcW w:type="dxa" w:w="1994"/>
          </w:tcPr>
          <w:p>
            <w:pPr>
              <w:spacing w:after="0"/>
            </w:pPr>
            <w:r/>
            <w:r>
              <w:rPr>
                <w:b/>
                <w:i w:val="0"/>
                <w:sz w:val="16"/>
              </w:rPr>
              <w:t>Regulatory Reporting</w:t>
              <w:br/>
              <w:t>(SupTech / Basel / IFRS 9)</w:t>
            </w:r>
          </w:p>
        </w:tc>
        <w:tc>
          <w:tcPr>
            <w:tcW w:type="dxa" w:w="1994"/>
            <w:shd w:fill="FFB3B3" w:val="clear"/>
          </w:tcPr>
          <w:p>
            <w:pPr>
              <w:spacing w:after="0"/>
            </w:pPr>
            <w:r/>
            <w:r>
              <w:rPr>
                <w:b/>
                <w:i w:val="0"/>
                <w:sz w:val="16"/>
              </w:rPr>
              <w:t>CRITICAL</w:t>
            </w:r>
          </w:p>
        </w:tc>
        <w:tc>
          <w:tcPr>
            <w:tcW w:type="dxa" w:w="1994"/>
          </w:tcPr>
          <w:p>
            <w:pPr>
              <w:spacing w:after="0"/>
            </w:pPr>
            <w:r/>
            <w:r>
              <w:rPr>
                <w:b w:val="0"/>
                <w:i w:val="0"/>
                <w:sz w:val="16"/>
              </w:rPr>
              <w:t>CBUAE SupTech mandatory reporting, Basel III CAR/LCR/NSFR, IFRS 9 disclosure</w:t>
            </w:r>
          </w:p>
        </w:tc>
        <w:tc>
          <w:tcPr>
            <w:tcW w:type="dxa" w:w="1994"/>
          </w:tcPr>
          <w:p>
            <w:pPr>
              <w:spacing w:after="0"/>
            </w:pPr>
            <w:r/>
            <w:r>
              <w:rPr>
                <w:b w:val="0"/>
                <w:i w:val="0"/>
                <w:sz w:val="14"/>
              </w:rPr>
              <w:t>Regulatory_Report_Submission, Regulatory_Return, SupTech_Form_Data, IFRS9_Disclosure_Schedule, Basel_RWA_Schedule, CRS_FATCA_Report</w:t>
            </w:r>
          </w:p>
        </w:tc>
      </w:tr>
      <w:tr>
        <w:tc>
          <w:tcPr>
            <w:tcW w:type="dxa" w:w="1994"/>
          </w:tcPr>
          <w:p>
            <w:pPr>
              <w:spacing w:after="0"/>
            </w:pPr>
            <w:r/>
            <w:r>
              <w:rPr>
                <w:b/>
                <w:i w:val="0"/>
                <w:sz w:val="16"/>
              </w:rPr>
              <w:t>GAP-06</w:t>
            </w:r>
          </w:p>
        </w:tc>
        <w:tc>
          <w:tcPr>
            <w:tcW w:type="dxa" w:w="1994"/>
          </w:tcPr>
          <w:p>
            <w:pPr>
              <w:spacing w:after="0"/>
            </w:pPr>
            <w:r/>
            <w:r>
              <w:rPr>
                <w:b/>
                <w:i w:val="0"/>
                <w:sz w:val="16"/>
              </w:rPr>
              <w:t>Islamic Finance</w:t>
              <w:br/>
              <w:t>(RAKISLAMIC products)</w:t>
            </w:r>
          </w:p>
        </w:tc>
        <w:tc>
          <w:tcPr>
            <w:tcW w:type="dxa" w:w="1994"/>
            <w:shd w:fill="FFE699" w:val="clear"/>
          </w:tcPr>
          <w:p>
            <w:pPr>
              <w:spacing w:after="0"/>
            </w:pPr>
            <w:r/>
            <w:r>
              <w:rPr>
                <w:b/>
                <w:i w:val="0"/>
                <w:sz w:val="16"/>
              </w:rPr>
              <w:t>HIGH</w:t>
            </w:r>
          </w:p>
        </w:tc>
        <w:tc>
          <w:tcPr>
            <w:tcW w:type="dxa" w:w="1994"/>
          </w:tcPr>
          <w:p>
            <w:pPr>
              <w:spacing w:after="0"/>
            </w:pPr>
            <w:r/>
            <w:r>
              <w:rPr>
                <w:b w:val="0"/>
                <w:i w:val="0"/>
                <w:sz w:val="16"/>
              </w:rPr>
              <w:t>CBUAE Islamic Finance Standards, AAOIFI Standards</w:t>
            </w:r>
          </w:p>
        </w:tc>
        <w:tc>
          <w:tcPr>
            <w:tcW w:type="dxa" w:w="1994"/>
          </w:tcPr>
          <w:p>
            <w:pPr>
              <w:spacing w:after="0"/>
            </w:pPr>
            <w:r/>
            <w:r>
              <w:rPr>
                <w:b w:val="0"/>
                <w:i w:val="0"/>
                <w:sz w:val="14"/>
              </w:rPr>
              <w:t>Islamic_Deposit_Account, Islamic_Financing_Agreement, Murabaha_Contract, Ijara_Contract, Musharaka_Agreement, Sukuk_Investment, Sharia_Approval</w:t>
            </w:r>
          </w:p>
        </w:tc>
      </w:tr>
      <w:tr>
        <w:tc>
          <w:tcPr>
            <w:tcW w:type="dxa" w:w="1994"/>
          </w:tcPr>
          <w:p>
            <w:pPr>
              <w:spacing w:after="0"/>
            </w:pPr>
            <w:r/>
            <w:r>
              <w:rPr>
                <w:b/>
                <w:i w:val="0"/>
                <w:sz w:val="16"/>
              </w:rPr>
              <w:t>GAP-07</w:t>
            </w:r>
          </w:p>
        </w:tc>
        <w:tc>
          <w:tcPr>
            <w:tcW w:type="dxa" w:w="1994"/>
          </w:tcPr>
          <w:p>
            <w:pPr>
              <w:spacing w:after="0"/>
            </w:pPr>
            <w:r/>
            <w:r>
              <w:rPr>
                <w:b/>
                <w:i w:val="0"/>
                <w:sz w:val="16"/>
              </w:rPr>
              <w:t>Finance / Management Accounting</w:t>
            </w:r>
          </w:p>
        </w:tc>
        <w:tc>
          <w:tcPr>
            <w:tcW w:type="dxa" w:w="1994"/>
            <w:shd w:fill="FFE699" w:val="clear"/>
          </w:tcPr>
          <w:p>
            <w:pPr>
              <w:spacing w:after="0"/>
            </w:pPr>
            <w:r/>
            <w:r>
              <w:rPr>
                <w:b/>
                <w:i w:val="0"/>
                <w:sz w:val="16"/>
              </w:rPr>
              <w:t>HIGH</w:t>
            </w:r>
          </w:p>
        </w:tc>
        <w:tc>
          <w:tcPr>
            <w:tcW w:type="dxa" w:w="1994"/>
          </w:tcPr>
          <w:p>
            <w:pPr>
              <w:spacing w:after="0"/>
            </w:pPr>
            <w:r/>
            <w:r>
              <w:rPr>
                <w:b w:val="0"/>
                <w:i w:val="0"/>
                <w:sz w:val="16"/>
              </w:rPr>
              <w:t>IFRS 9, Internal MIS</w:t>
            </w:r>
          </w:p>
        </w:tc>
        <w:tc>
          <w:tcPr>
            <w:tcW w:type="dxa" w:w="1994"/>
          </w:tcPr>
          <w:p>
            <w:pPr>
              <w:spacing w:after="0"/>
            </w:pPr>
            <w:r/>
            <w:r>
              <w:rPr>
                <w:b w:val="0"/>
                <w:i w:val="0"/>
                <w:sz w:val="14"/>
              </w:rPr>
              <w:t>PnL_Position, Balance_Sheet_Position, Cost_Centre, Profit_Centre, Management_Account_Code, Transfer_Price_Rate, Intercompany_Elimination</w:t>
            </w:r>
          </w:p>
        </w:tc>
      </w:tr>
      <w:tr>
        <w:tc>
          <w:tcPr>
            <w:tcW w:type="dxa" w:w="1994"/>
          </w:tcPr>
          <w:p>
            <w:pPr>
              <w:spacing w:after="0"/>
            </w:pPr>
            <w:r/>
            <w:r>
              <w:rPr>
                <w:b/>
                <w:i w:val="0"/>
                <w:sz w:val="16"/>
              </w:rPr>
              <w:t>GAP-08</w:t>
            </w:r>
          </w:p>
        </w:tc>
        <w:tc>
          <w:tcPr>
            <w:tcW w:type="dxa" w:w="1994"/>
          </w:tcPr>
          <w:p>
            <w:pPr>
              <w:spacing w:after="0"/>
            </w:pPr>
            <w:r/>
            <w:r>
              <w:rPr>
                <w:b/>
                <w:i w:val="0"/>
                <w:sz w:val="16"/>
              </w:rPr>
              <w:t>Fraud Management</w:t>
              <w:br/>
              <w:t>(Dedicated domain)</w:t>
            </w:r>
          </w:p>
        </w:tc>
        <w:tc>
          <w:tcPr>
            <w:tcW w:type="dxa" w:w="1994"/>
            <w:shd w:fill="FFE699" w:val="clear"/>
          </w:tcPr>
          <w:p>
            <w:pPr>
              <w:spacing w:after="0"/>
            </w:pPr>
            <w:r/>
            <w:r>
              <w:rPr>
                <w:b/>
                <w:i w:val="0"/>
                <w:sz w:val="16"/>
              </w:rPr>
              <w:t>HIGH</w:t>
            </w:r>
          </w:p>
        </w:tc>
        <w:tc>
          <w:tcPr>
            <w:tcW w:type="dxa" w:w="1994"/>
          </w:tcPr>
          <w:p>
            <w:pPr>
              <w:spacing w:after="0"/>
            </w:pPr>
            <w:r/>
            <w:r>
              <w:rPr>
                <w:b w:val="0"/>
                <w:i w:val="0"/>
                <w:sz w:val="16"/>
              </w:rPr>
              <w:t>PCI DSS, UAE AML/CFT, CBUAE Fraud Reporting</w:t>
            </w:r>
          </w:p>
        </w:tc>
        <w:tc>
          <w:tcPr>
            <w:tcW w:type="dxa" w:w="1994"/>
          </w:tcPr>
          <w:p>
            <w:pPr>
              <w:spacing w:after="0"/>
            </w:pPr>
            <w:r/>
            <w:r>
              <w:rPr>
                <w:b w:val="0"/>
                <w:i w:val="0"/>
                <w:sz w:val="14"/>
              </w:rPr>
              <w:t>Fraud_Alert, Fraud_Case, Fraud_Transaction_Link, Fraud_Typology, Fraud_Investigation, Fraud_Recovery, Fraud_Model_Score</w:t>
            </w:r>
          </w:p>
        </w:tc>
      </w:tr>
      <w:tr>
        <w:tc>
          <w:tcPr>
            <w:tcW w:type="dxa" w:w="1994"/>
          </w:tcPr>
          <w:p>
            <w:pPr>
              <w:spacing w:after="0"/>
            </w:pPr>
            <w:r/>
            <w:r>
              <w:rPr>
                <w:b/>
                <w:i w:val="0"/>
                <w:sz w:val="16"/>
              </w:rPr>
              <w:t>GAP-09</w:t>
            </w:r>
          </w:p>
        </w:tc>
        <w:tc>
          <w:tcPr>
            <w:tcW w:type="dxa" w:w="1994"/>
          </w:tcPr>
          <w:p>
            <w:pPr>
              <w:spacing w:after="0"/>
            </w:pPr>
            <w:r/>
            <w:r>
              <w:rPr>
                <w:b/>
                <w:i w:val="0"/>
                <w:sz w:val="16"/>
              </w:rPr>
              <w:t>Customer Complaints / Case Management</w:t>
            </w:r>
          </w:p>
        </w:tc>
        <w:tc>
          <w:tcPr>
            <w:tcW w:type="dxa" w:w="1994"/>
            <w:shd w:fill="FFE699" w:val="clear"/>
          </w:tcPr>
          <w:p>
            <w:pPr>
              <w:spacing w:after="0"/>
            </w:pPr>
            <w:r/>
            <w:r>
              <w:rPr>
                <w:b/>
                <w:i w:val="0"/>
                <w:sz w:val="16"/>
              </w:rPr>
              <w:t>HIGH</w:t>
            </w:r>
          </w:p>
        </w:tc>
        <w:tc>
          <w:tcPr>
            <w:tcW w:type="dxa" w:w="1994"/>
          </w:tcPr>
          <w:p>
            <w:pPr>
              <w:spacing w:after="0"/>
            </w:pPr>
            <w:r/>
            <w:r>
              <w:rPr>
                <w:b w:val="0"/>
                <w:i w:val="0"/>
                <w:sz w:val="16"/>
              </w:rPr>
              <w:t>CBUAE Consumer Protection Regulation, SAMA-equivalent requirements</w:t>
            </w:r>
          </w:p>
        </w:tc>
        <w:tc>
          <w:tcPr>
            <w:tcW w:type="dxa" w:w="1994"/>
          </w:tcPr>
          <w:p>
            <w:pPr>
              <w:spacing w:after="0"/>
            </w:pPr>
            <w:r/>
            <w:r>
              <w:rPr>
                <w:b w:val="0"/>
                <w:i w:val="0"/>
                <w:sz w:val="14"/>
              </w:rPr>
              <w:t>Customer_Complaint, Service_Request, Case_Escalation, Complaint_Resolution, Complaint_Category, Regulatory_Complaint_Flag</w:t>
            </w:r>
          </w:p>
        </w:tc>
      </w:tr>
      <w:tr>
        <w:tc>
          <w:tcPr>
            <w:tcW w:type="dxa" w:w="1994"/>
          </w:tcPr>
          <w:p>
            <w:pPr>
              <w:spacing w:after="0"/>
            </w:pPr>
            <w:r/>
            <w:r>
              <w:rPr>
                <w:b/>
                <w:i w:val="0"/>
                <w:sz w:val="16"/>
              </w:rPr>
              <w:t>GAP-10</w:t>
            </w:r>
          </w:p>
        </w:tc>
        <w:tc>
          <w:tcPr>
            <w:tcW w:type="dxa" w:w="1994"/>
          </w:tcPr>
          <w:p>
            <w:pPr>
              <w:spacing w:after="0"/>
            </w:pPr>
            <w:r/>
            <w:r>
              <w:rPr>
                <w:b/>
                <w:i w:val="0"/>
                <w:sz w:val="16"/>
              </w:rPr>
              <w:t>Party / Counterparty Master</w:t>
            </w:r>
          </w:p>
        </w:tc>
        <w:tc>
          <w:tcPr>
            <w:tcW w:type="dxa" w:w="1994"/>
            <w:shd w:fill="FFF2CC" w:val="clear"/>
          </w:tcPr>
          <w:p>
            <w:pPr>
              <w:spacing w:after="0"/>
            </w:pPr>
            <w:r/>
            <w:r>
              <w:rPr>
                <w:b/>
                <w:i w:val="0"/>
                <w:sz w:val="16"/>
              </w:rPr>
              <w:t>MEDIUM</w:t>
            </w:r>
          </w:p>
        </w:tc>
        <w:tc>
          <w:tcPr>
            <w:tcW w:type="dxa" w:w="1994"/>
          </w:tcPr>
          <w:p>
            <w:pPr>
              <w:spacing w:after="0"/>
            </w:pPr>
            <w:r/>
            <w:r>
              <w:rPr>
                <w:b w:val="0"/>
                <w:i w:val="0"/>
                <w:sz w:val="16"/>
              </w:rPr>
              <w:t>Basel III CVA/CCR, Trade Finance counterparty risk</w:t>
            </w:r>
          </w:p>
        </w:tc>
        <w:tc>
          <w:tcPr>
            <w:tcW w:type="dxa" w:w="1994"/>
          </w:tcPr>
          <w:p>
            <w:pPr>
              <w:spacing w:after="0"/>
            </w:pPr>
            <w:r/>
            <w:r>
              <w:rPr>
                <w:b w:val="0"/>
                <w:i w:val="0"/>
                <w:sz w:val="14"/>
              </w:rPr>
              <w:t>Counterparty, Correspondent_Bank, Institutional_Client, Counterparty_Risk_Rating, LEI_Registration, Counterparty_Exposure</w:t>
            </w:r>
          </w:p>
        </w:tc>
      </w:tr>
      <w:tr>
        <w:tc>
          <w:tcPr>
            <w:tcW w:type="dxa" w:w="1994"/>
          </w:tcPr>
          <w:p>
            <w:pPr>
              <w:spacing w:after="0"/>
            </w:pPr>
            <w:r/>
            <w:r>
              <w:rPr>
                <w:b/>
                <w:i w:val="0"/>
                <w:sz w:val="16"/>
              </w:rPr>
              <w:t>GAP-11</w:t>
            </w:r>
          </w:p>
        </w:tc>
        <w:tc>
          <w:tcPr>
            <w:tcW w:type="dxa" w:w="1994"/>
          </w:tcPr>
          <w:p>
            <w:pPr>
              <w:spacing w:after="0"/>
            </w:pPr>
            <w:r/>
            <w:r>
              <w:rPr>
                <w:b/>
                <w:i w:val="0"/>
                <w:sz w:val="16"/>
              </w:rPr>
              <w:t>Employee / HR</w:t>
            </w:r>
          </w:p>
        </w:tc>
        <w:tc>
          <w:tcPr>
            <w:tcW w:type="dxa" w:w="1994"/>
            <w:shd w:fill="FFF2CC" w:val="clear"/>
          </w:tcPr>
          <w:p>
            <w:pPr>
              <w:spacing w:after="0"/>
            </w:pPr>
            <w:r/>
            <w:r>
              <w:rPr>
                <w:b/>
                <w:i w:val="0"/>
                <w:sz w:val="16"/>
              </w:rPr>
              <w:t>MEDIUM</w:t>
            </w:r>
          </w:p>
        </w:tc>
        <w:tc>
          <w:tcPr>
            <w:tcW w:type="dxa" w:w="1994"/>
          </w:tcPr>
          <w:p>
            <w:pPr>
              <w:spacing w:after="0"/>
            </w:pPr>
            <w:r/>
            <w:r>
              <w:rPr>
                <w:b w:val="0"/>
                <w:i w:val="0"/>
                <w:sz w:val="16"/>
              </w:rPr>
              <w:t>ORM — Internal Fraud, Conduct Risk</w:t>
            </w:r>
          </w:p>
        </w:tc>
        <w:tc>
          <w:tcPr>
            <w:tcW w:type="dxa" w:w="1994"/>
          </w:tcPr>
          <w:p>
            <w:pPr>
              <w:spacing w:after="0"/>
            </w:pPr>
            <w:r/>
            <w:r>
              <w:rPr>
                <w:b w:val="0"/>
                <w:i w:val="0"/>
                <w:sz w:val="14"/>
              </w:rPr>
              <w:t>Employee, Staff_Role, Branch_Assignment, RM_Assignment_History, Staff_Disciplinary_Record</w:t>
            </w:r>
          </w:p>
        </w:tc>
      </w:tr>
      <w:tr>
        <w:tc>
          <w:tcPr>
            <w:tcW w:type="dxa" w:w="1994"/>
          </w:tcPr>
          <w:p>
            <w:pPr>
              <w:spacing w:after="0"/>
            </w:pPr>
            <w:r/>
            <w:r>
              <w:rPr>
                <w:b/>
                <w:i w:val="0"/>
                <w:sz w:val="16"/>
              </w:rPr>
              <w:t>GAP-12</w:t>
            </w:r>
          </w:p>
        </w:tc>
        <w:tc>
          <w:tcPr>
            <w:tcW w:type="dxa" w:w="1994"/>
          </w:tcPr>
          <w:p>
            <w:pPr>
              <w:spacing w:after="0"/>
            </w:pPr>
            <w:r/>
            <w:r>
              <w:rPr>
                <w:b/>
                <w:i w:val="0"/>
                <w:sz w:val="16"/>
              </w:rPr>
              <w:t>Channels &amp; Infrastructure</w:t>
              <w:br/>
              <w:t>(Master Data)</w:t>
            </w:r>
          </w:p>
        </w:tc>
        <w:tc>
          <w:tcPr>
            <w:tcW w:type="dxa" w:w="1994"/>
            <w:shd w:fill="FFF2CC" w:val="clear"/>
          </w:tcPr>
          <w:p>
            <w:pPr>
              <w:spacing w:after="0"/>
            </w:pPr>
            <w:r/>
            <w:r>
              <w:rPr>
                <w:b/>
                <w:i w:val="0"/>
                <w:sz w:val="16"/>
              </w:rPr>
              <w:t>MEDIUM</w:t>
            </w:r>
          </w:p>
        </w:tc>
        <w:tc>
          <w:tcPr>
            <w:tcW w:type="dxa" w:w="1994"/>
          </w:tcPr>
          <w:p>
            <w:pPr>
              <w:spacing w:after="0"/>
            </w:pPr>
            <w:r/>
            <w:r>
              <w:rPr>
                <w:b w:val="0"/>
                <w:i w:val="0"/>
                <w:sz w:val="16"/>
              </w:rPr>
              <w:t>Channel analytics, branch P&amp;L, ATM management</w:t>
            </w:r>
          </w:p>
        </w:tc>
        <w:tc>
          <w:tcPr>
            <w:tcW w:type="dxa" w:w="1994"/>
          </w:tcPr>
          <w:p>
            <w:pPr>
              <w:spacing w:after="0"/>
            </w:pPr>
            <w:r/>
            <w:r>
              <w:rPr>
                <w:b w:val="0"/>
                <w:i w:val="0"/>
                <w:sz w:val="14"/>
              </w:rPr>
              <w:t>Branch, ATM, POS_Terminal, Digital_Channel, Channel_Availability, Branch_P&amp;L_Position</w:t>
            </w:r>
          </w:p>
        </w:tc>
      </w:tr>
    </w:tbl>
    <w:p>
      <w:r>
        <w:br w:type="page"/>
      </w:r>
    </w:p>
    <w:p>
      <w:pPr>
        <w:pStyle w:val="Heading1"/>
      </w:pPr>
      <w:r>
        <w:t>7. Prioritised Recommendations</w:t>
      </w:r>
    </w:p>
    <w:p>
      <w:pPr>
        <w:pStyle w:val="Heading2"/>
      </w:pPr>
      <w:r>
        <w:t>7.1 Immediate Actions (Before Physical Implementation)</w:t>
      </w:r>
    </w:p>
    <w:p>
      <w:pPr>
        <w:pStyle w:val="ListBullet"/>
        <w:spacing w:after="80"/>
      </w:pPr>
      <w:r>
        <w:rPr>
          <w:b/>
          <w:sz w:val="20"/>
        </w:rPr>
        <w:t xml:space="preserve">P1-01: </w:t>
      </w:r>
      <w:r>
        <w:rPr>
          <w:sz w:val="20"/>
        </w:rPr>
        <w:t>Fix all data types in the logical model. Replace STRING/CHAR(18) with proper semantic types (DATE, DECIMAL, BOOLEAN, VARCHAR). This change will cascade to fix the physical model type errors (account_status as TIMESTAMP, balance as BIGINT).</w:t>
      </w:r>
    </w:p>
    <w:p>
      <w:pPr>
        <w:pStyle w:val="ListBullet"/>
        <w:spacing w:after="80"/>
      </w:pPr>
      <w:r>
        <w:rPr>
          <w:b/>
          <w:sz w:val="20"/>
        </w:rPr>
        <w:t xml:space="preserve">P1-02: </w:t>
      </w:r>
      <w:r>
        <w:rPr>
          <w:sz w:val="20"/>
        </w:rPr>
        <w:t>Remove all Gold/ML layer entities from ORM subject area (~15 entities). Dashboard, Predictive Model, AI, Alerting, and Visualization entities do not belong in the silver logical model.</w:t>
      </w:r>
    </w:p>
    <w:p>
      <w:pPr>
        <w:pStyle w:val="ListBullet"/>
        <w:spacing w:after="80"/>
      </w:pPr>
      <w:r>
        <w:rPr>
          <w:b/>
          <w:sz w:val="20"/>
        </w:rPr>
        <w:t xml:space="preserve">P1-03: </w:t>
      </w:r>
      <w:r>
        <w:rPr>
          <w:sz w:val="20"/>
        </w:rPr>
        <w:t>Centralise all Reference Data into a single Reference_Data subject area. Eliminate 100-150 duplicate reference entity definitions across the 16 subject areas.</w:t>
      </w:r>
    </w:p>
    <w:p>
      <w:pPr>
        <w:pStyle w:val="ListBullet"/>
        <w:spacing w:after="80"/>
      </w:pPr>
      <w:r>
        <w:rPr>
          <w:b/>
          <w:sz w:val="20"/>
        </w:rPr>
        <w:t xml:space="preserve">P1-04: </w:t>
      </w:r>
      <w:r>
        <w:rPr>
          <w:sz w:val="20"/>
        </w:rPr>
        <w:t>Define surrogate keys on all conformed master entities (Customer, Account, Loan, Credit_Card_Account, Deposit). Surrogate keys are non-negotiable for a multi-source enterprise model.</w:t>
      </w:r>
    </w:p>
    <w:p>
      <w:pPr>
        <w:pStyle w:val="ListBullet"/>
        <w:spacing w:after="80"/>
      </w:pPr>
      <w:r>
        <w:rPr>
          <w:b/>
          <w:sz w:val="20"/>
        </w:rPr>
        <w:t xml:space="preserve">P1-05: </w:t>
      </w:r>
      <w:r>
        <w:rPr>
          <w:sz w:val="20"/>
        </w:rPr>
        <w:t>Standardise the SCD Type 2 pattern across all entities: effective_from_date DATE, effective_to_date DATE, is_current_flag BOOLEAN, scd_version_seq INTEGER, record_hash VARCHAR(64).</w:t>
      </w:r>
    </w:p>
    <w:p>
      <w:pPr>
        <w:pStyle w:val="ListBullet"/>
        <w:spacing w:after="80"/>
      </w:pPr>
      <w:r>
        <w:rPr>
          <w:b/>
          <w:sz w:val="20"/>
        </w:rPr>
        <w:t xml:space="preserve">P1-06: </w:t>
      </w:r>
      <w:r>
        <w:rPr>
          <w:sz w:val="20"/>
        </w:rPr>
        <w:t>Add record_hash and batch_id / load_timestamp to all entity metadata standards.</w:t>
      </w:r>
    </w:p>
    <w:p>
      <w:pPr>
        <w:pStyle w:val="ListBullet"/>
        <w:spacing w:after="80"/>
      </w:pPr>
      <w:r>
        <w:rPr>
          <w:b/>
          <w:sz w:val="20"/>
        </w:rPr>
        <w:t xml:space="preserve">P1-07: </w:t>
      </w:r>
      <w:r>
        <w:rPr>
          <w:sz w:val="20"/>
        </w:rPr>
        <w:t>Expand GL_TRANSACTIONS from 18 to 40+ attributes. Add GL_JOURNAL_HEADER, GL_PERIOD, GL_PERIOD_BALANCE entities. The GL SA in its current state cannot support regulatory financial reporting.</w:t>
      </w:r>
    </w:p>
    <w:p>
      <w:pPr>
        <w:pStyle w:val="ListBullet"/>
        <w:spacing w:after="80"/>
      </w:pPr>
      <w:r>
        <w:rPr>
          <w:b/>
          <w:sz w:val="20"/>
        </w:rPr>
        <w:t xml:space="preserve">P1-08: </w:t>
      </w:r>
      <w:r>
        <w:rPr>
          <w:sz w:val="20"/>
        </w:rPr>
        <w:t>Expand Loan_Agreement from 16 to 40+ attributes. Add Loan_ECL_Parameters and Loan_Modification_History entities for IFRS 9 compliance.</w:t>
      </w:r>
    </w:p>
    <w:p>
      <w:pPr>
        <w:pStyle w:val="ListBullet"/>
        <w:spacing w:after="80"/>
      </w:pPr>
      <w:r>
        <w:rPr>
          <w:b/>
          <w:sz w:val="20"/>
        </w:rPr>
        <w:t xml:space="preserve">P1-09: </w:t>
      </w:r>
      <w:r>
        <w:rPr>
          <w:sz w:val="20"/>
        </w:rPr>
        <w:t>Expand Deposit_Term_Account from 13 to 30+ attributes. Add Deposit_Interest_Accrual and Deposit_Rollover_History entities.</w:t>
      </w:r>
    </w:p>
    <w:p>
      <w:pPr>
        <w:pStyle w:val="ListBullet"/>
        <w:spacing w:after="80"/>
      </w:pPr>
      <w:r>
        <w:rPr>
          <w:b/>
          <w:sz w:val="20"/>
        </w:rPr>
        <w:t xml:space="preserve">P1-10: </w:t>
      </w:r>
      <w:r>
        <w:rPr>
          <w:sz w:val="20"/>
        </w:rPr>
        <w:t>Standardise entity naming: remove "Table" suffixes, eliminate spaces and parentheses, choose one convention (recommended: PascalCase for entities, snake_case for attributes).</w:t>
      </w:r>
    </w:p>
    <w:p>
      <w:pPr>
        <w:pStyle w:val="Heading2"/>
      </w:pPr>
      <w:r>
        <w:t>7.2 Short-Term (Next Model Iteration)</w:t>
      </w:r>
    </w:p>
    <w:p>
      <w:pPr>
        <w:pStyle w:val="ListBullet"/>
        <w:spacing w:after="80"/>
      </w:pPr>
      <w:r>
        <w:rPr>
          <w:b/>
          <w:sz w:val="20"/>
        </w:rPr>
        <w:t xml:space="preserve">P2-01: </w:t>
      </w:r>
      <w:r>
        <w:rPr>
          <w:sz w:val="20"/>
        </w:rPr>
        <w:t>Add missing Payments SA with: Payment_Instruction, Real_Time_Payment, SWIFT_Message, Nostro_Vostro_Position.</w:t>
      </w:r>
    </w:p>
    <w:p>
      <w:pPr>
        <w:pStyle w:val="ListBullet"/>
        <w:spacing w:after="80"/>
      </w:pPr>
      <w:r>
        <w:rPr>
          <w:b/>
          <w:sz w:val="20"/>
        </w:rPr>
        <w:t xml:space="preserve">P2-02: </w:t>
      </w:r>
      <w:r>
        <w:rPr>
          <w:sz w:val="20"/>
        </w:rPr>
        <w:t>Build Product Catalog SA with a proper product hierarchy (Product_Family → Product_Type → Product → Product_Feature).</w:t>
      </w:r>
    </w:p>
    <w:p>
      <w:pPr>
        <w:pStyle w:val="ListBullet"/>
        <w:spacing w:after="80"/>
      </w:pPr>
      <w:r>
        <w:rPr>
          <w:b/>
          <w:sz w:val="20"/>
        </w:rPr>
        <w:t xml:space="preserve">P2-03: </w:t>
      </w:r>
      <w:r>
        <w:rPr>
          <w:sz w:val="20"/>
        </w:rPr>
        <w:t>Add AML/Compliance SA with: AML_Alert, AML_Case, SAR_Report, Sanction_Screening_Result.</w:t>
      </w:r>
    </w:p>
    <w:p>
      <w:pPr>
        <w:pStyle w:val="ListBullet"/>
        <w:spacing w:after="80"/>
      </w:pPr>
      <w:r>
        <w:rPr>
          <w:b/>
          <w:sz w:val="20"/>
        </w:rPr>
        <w:t xml:space="preserve">P2-04: </w:t>
      </w:r>
      <w:r>
        <w:rPr>
          <w:sz w:val="20"/>
        </w:rPr>
        <w:t>Add Islamic Finance entities for RAKISLAMIC products across Deposit, Loan, and a new Islamic_Finance SA.</w:t>
      </w:r>
    </w:p>
    <w:p>
      <w:pPr>
        <w:pStyle w:val="ListBullet"/>
        <w:spacing w:after="80"/>
      </w:pPr>
      <w:r>
        <w:rPr>
          <w:b/>
          <w:sz w:val="20"/>
        </w:rPr>
        <w:t xml:space="preserve">P2-05: </w:t>
      </w:r>
      <w:r>
        <w:rPr>
          <w:sz w:val="20"/>
        </w:rPr>
        <w:t>Normalise Customer entity: extract RM details to Relationship_Manager entity, extract address to Customer_Address entity.</w:t>
      </w:r>
    </w:p>
    <w:p>
      <w:pPr>
        <w:pStyle w:val="ListBullet"/>
        <w:spacing w:after="80"/>
      </w:pPr>
      <w:r>
        <w:rPr>
          <w:b/>
          <w:sz w:val="20"/>
        </w:rPr>
        <w:t xml:space="preserve">P2-06: </w:t>
      </w:r>
      <w:r>
        <w:rPr>
          <w:sz w:val="20"/>
        </w:rPr>
        <w:t>Fix repeating groups in Credit_Card_Account: replace amount_in_arrears_1 through _8 with Credit_Card_Arrears_Bucket child entity.</w:t>
      </w:r>
    </w:p>
    <w:p>
      <w:pPr>
        <w:pStyle w:val="ListBullet"/>
        <w:spacing w:after="80"/>
      </w:pPr>
      <w:r>
        <w:rPr>
          <w:b/>
          <w:sz w:val="20"/>
        </w:rPr>
        <w:t xml:space="preserve">P2-07: </w:t>
      </w:r>
      <w:r>
        <w:rPr>
          <w:sz w:val="20"/>
        </w:rPr>
        <w:t>Add Capital_Adequacy_Position, RWA_Calculation, NSFR_Position, LCR_Position entities to Bank Asset SA.</w:t>
      </w:r>
    </w:p>
    <w:p>
      <w:pPr>
        <w:pStyle w:val="ListBullet"/>
        <w:spacing w:after="80"/>
      </w:pPr>
      <w:r>
        <w:rPr>
          <w:b/>
          <w:sz w:val="20"/>
        </w:rPr>
        <w:t xml:space="preserve">P2-08: </w:t>
      </w:r>
      <w:r>
        <w:rPr>
          <w:sz w:val="20"/>
        </w:rPr>
        <w:t>Add Customer_ECL_Parameters and Loan_ECL_Parameters entities for IFRS 9 staging.</w:t>
      </w:r>
    </w:p>
    <w:p>
      <w:pPr>
        <w:pStyle w:val="ListBullet"/>
        <w:spacing w:after="80"/>
      </w:pPr>
      <w:r>
        <w:rPr>
          <w:b/>
          <w:sz w:val="20"/>
        </w:rPr>
        <w:t xml:space="preserve">P2-09: </w:t>
      </w:r>
      <w:r>
        <w:rPr>
          <w:sz w:val="20"/>
        </w:rPr>
        <w:t>Resolve entity duplication between Trade and Investment SAs. Document clear SA boundaries.</w:t>
      </w:r>
    </w:p>
    <w:p>
      <w:pPr>
        <w:pStyle w:val="ListBullet"/>
        <w:spacing w:after="80"/>
      </w:pPr>
      <w:r>
        <w:rPr>
          <w:b/>
          <w:sz w:val="20"/>
        </w:rPr>
        <w:t xml:space="preserve">P2-10: </w:t>
      </w:r>
      <w:r>
        <w:rPr>
          <w:sz w:val="20"/>
        </w:rPr>
        <w:t>Add PII/sensitivity classification to all attributes (required for Unity Catalog column masking and UAE PDPL compliance).</w:t>
      </w:r>
    </w:p>
    <w:p>
      <w:pPr>
        <w:pStyle w:val="Heading2"/>
      </w:pPr>
      <w:r>
        <w:t>7.3 Medium-Term (Model Maturity Roadmap)</w:t>
      </w:r>
    </w:p>
    <w:p>
      <w:pPr>
        <w:pStyle w:val="ListBullet"/>
        <w:spacing w:after="80"/>
      </w:pPr>
      <w:r>
        <w:rPr>
          <w:b/>
          <w:sz w:val="20"/>
        </w:rPr>
        <w:t xml:space="preserve">P3-01: </w:t>
      </w:r>
      <w:r>
        <w:rPr>
          <w:sz w:val="20"/>
        </w:rPr>
        <w:t>Add Treasury &amp; ALM subject area: Fund_Transfer_Price, Interest_Rate_Gap, Hedge_Relationship.</w:t>
      </w:r>
    </w:p>
    <w:p>
      <w:pPr>
        <w:pStyle w:val="ListBullet"/>
        <w:spacing w:after="80"/>
      </w:pPr>
      <w:r>
        <w:rPr>
          <w:b/>
          <w:sz w:val="20"/>
        </w:rPr>
        <w:t xml:space="preserve">P3-02: </w:t>
      </w:r>
      <w:r>
        <w:rPr>
          <w:sz w:val="20"/>
        </w:rPr>
        <w:t>Add Finance / Management Accounting SA for P&amp;L positions, balance sheet, and cost centre analytics.</w:t>
      </w:r>
    </w:p>
    <w:p>
      <w:pPr>
        <w:pStyle w:val="ListBullet"/>
        <w:spacing w:after="80"/>
      </w:pPr>
      <w:r>
        <w:rPr>
          <w:b/>
          <w:sz w:val="20"/>
        </w:rPr>
        <w:t xml:space="preserve">P3-03: </w:t>
      </w:r>
      <w:r>
        <w:rPr>
          <w:sz w:val="20"/>
        </w:rPr>
        <w:t>Add Fraud Management SA with dedicated fraud lifecycle entities separate from ORM.</w:t>
      </w:r>
    </w:p>
    <w:p>
      <w:pPr>
        <w:pStyle w:val="ListBullet"/>
        <w:spacing w:after="80"/>
      </w:pPr>
      <w:r>
        <w:rPr>
          <w:b/>
          <w:sz w:val="20"/>
        </w:rPr>
        <w:t xml:space="preserve">P3-04: </w:t>
      </w:r>
      <w:r>
        <w:rPr>
          <w:sz w:val="20"/>
        </w:rPr>
        <w:t>Add Customer Complaints / Case Management SA for CBUAE consumer protection compliance.</w:t>
      </w:r>
    </w:p>
    <w:p>
      <w:pPr>
        <w:pStyle w:val="ListBullet"/>
        <w:spacing w:after="80"/>
      </w:pPr>
      <w:r>
        <w:rPr>
          <w:b/>
          <w:sz w:val="20"/>
        </w:rPr>
        <w:t xml:space="preserve">P3-05: </w:t>
      </w:r>
      <w:r>
        <w:rPr>
          <w:sz w:val="20"/>
        </w:rPr>
        <w:t>Implement formal entity relationship diagram (ERD) with explicit FK documentation for all cross-SA relationships.</w:t>
      </w:r>
    </w:p>
    <w:p>
      <w:pPr>
        <w:pStyle w:val="ListBullet"/>
        <w:spacing w:after="80"/>
      </w:pPr>
      <w:r>
        <w:rPr>
          <w:b/>
          <w:sz w:val="20"/>
        </w:rPr>
        <w:t xml:space="preserve">P3-06: </w:t>
      </w:r>
      <w:r>
        <w:rPr>
          <w:sz w:val="20"/>
        </w:rPr>
        <w:t>Add Regulatory Reporting SA with entities aligned to CBUAE SupTech form structures.</w:t>
      </w:r>
    </w:p>
    <w:p>
      <w:pPr>
        <w:pStyle w:val="ListBullet"/>
        <w:spacing w:after="80"/>
      </w:pPr>
      <w:r>
        <w:rPr>
          <w:b/>
          <w:sz w:val="20"/>
        </w:rPr>
        <w:t xml:space="preserve">P3-07: </w:t>
      </w:r>
      <w:r>
        <w:rPr>
          <w:sz w:val="20"/>
        </w:rPr>
        <w:t>Add Customer_Consent entity for UAE PDPL compliance.</w:t>
      </w:r>
    </w:p>
    <w:p>
      <w:r>
        <w:br w:type="page"/>
      </w:r>
    </w:p>
    <w:p>
      <w:pPr>
        <w:pStyle w:val="Heading1"/>
      </w:pPr>
      <w:r>
        <w:t>8. Appendix — Subject Area Summary Statistics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1F3864" w:val="clear"/>
          </w:tcPr>
          <w:p>
            <w:pPr>
              <w:spacing w:after="0"/>
            </w:pPr>
            <w:r/>
            <w:r>
              <w:rPr>
                <w:b/>
                <w:i w:val="0"/>
                <w:color w:val="FFFFFF"/>
                <w:sz w:val="16"/>
              </w:rPr>
              <w:t>Subject Area</w:t>
            </w:r>
          </w:p>
        </w:tc>
        <w:tc>
          <w:tcPr>
            <w:tcW w:type="dxa" w:w="1662"/>
            <w:shd w:fill="1F3864" w:val="clear"/>
          </w:tcPr>
          <w:p>
            <w:pPr>
              <w:spacing w:after="0"/>
            </w:pPr>
            <w:r/>
            <w:r>
              <w:rPr>
                <w:b/>
                <w:i w:val="0"/>
                <w:color w:val="FFFFFF"/>
                <w:sz w:val="16"/>
              </w:rPr>
              <w:t>Entities</w:t>
            </w:r>
          </w:p>
        </w:tc>
        <w:tc>
          <w:tcPr>
            <w:tcW w:type="dxa" w:w="1662"/>
            <w:shd w:fill="1F3864" w:val="clear"/>
          </w:tcPr>
          <w:p>
            <w:pPr>
              <w:spacing w:after="0"/>
            </w:pPr>
            <w:r/>
            <w:r>
              <w:rPr>
                <w:b/>
                <w:i w:val="0"/>
                <w:color w:val="FFFFFF"/>
                <w:sz w:val="16"/>
              </w:rPr>
              <w:t>Attributes</w:t>
            </w:r>
          </w:p>
        </w:tc>
        <w:tc>
          <w:tcPr>
            <w:tcW w:type="dxa" w:w="1662"/>
            <w:shd w:fill="1F3864" w:val="clear"/>
          </w:tcPr>
          <w:p>
            <w:pPr>
              <w:spacing w:after="0"/>
            </w:pPr>
            <w:r/>
            <w:r>
              <w:rPr>
                <w:b/>
                <w:i w:val="0"/>
                <w:color w:val="FFFFFF"/>
                <w:sz w:val="16"/>
              </w:rPr>
              <w:t>Gold-Misplaced Entities</w:t>
            </w:r>
          </w:p>
        </w:tc>
        <w:tc>
          <w:tcPr>
            <w:tcW w:type="dxa" w:w="1662"/>
            <w:shd w:fill="1F3864" w:val="clear"/>
          </w:tcPr>
          <w:p>
            <w:pPr>
              <w:spacing w:after="0"/>
            </w:pPr>
            <w:r/>
            <w:r>
              <w:rPr>
                <w:b/>
                <w:i w:val="0"/>
                <w:color w:val="FFFFFF"/>
                <w:sz w:val="16"/>
              </w:rPr>
              <w:t>Missing Critical Entities</w:t>
            </w:r>
          </w:p>
        </w:tc>
        <w:tc>
          <w:tcPr>
            <w:tcW w:type="dxa" w:w="1662"/>
            <w:shd w:fill="1F3864" w:val="clear"/>
          </w:tcPr>
          <w:p>
            <w:pPr>
              <w:spacing w:after="0"/>
            </w:pPr>
            <w:r/>
            <w:r>
              <w:rPr>
                <w:b/>
                <w:i w:val="0"/>
                <w:color w:val="FFFFFF"/>
                <w:sz w:val="16"/>
              </w:rPr>
              <w:t>Readiness</w:t>
            </w:r>
          </w:p>
        </w:tc>
      </w:tr>
      <w:tr>
        <w:tc>
          <w:tcPr>
            <w:tcW w:type="dxa" w:w="1662"/>
          </w:tcPr>
          <w:p>
            <w:pPr>
              <w:spacing w:after="0"/>
            </w:pPr>
            <w:r/>
            <w:r>
              <w:rPr>
                <w:b w:val="0"/>
                <w:i w:val="0"/>
                <w:sz w:val="16"/>
              </w:rPr>
              <w:t>Customer</w:t>
            </w:r>
          </w:p>
        </w:tc>
        <w:tc>
          <w:tcPr>
            <w:tcW w:type="dxa" w:w="1662"/>
          </w:tcPr>
          <w:p>
            <w:pPr>
              <w:spacing w:after="0"/>
            </w:pPr>
            <w:r/>
            <w:r>
              <w:rPr>
                <w:b w:val="0"/>
                <w:i w:val="0"/>
                <w:sz w:val="16"/>
              </w:rPr>
              <w:t>31</w:t>
            </w:r>
          </w:p>
        </w:tc>
        <w:tc>
          <w:tcPr>
            <w:tcW w:type="dxa" w:w="1662"/>
          </w:tcPr>
          <w:p>
            <w:pPr>
              <w:spacing w:after="0"/>
            </w:pPr>
            <w:r/>
            <w:r>
              <w:rPr>
                <w:b w:val="0"/>
                <w:i w:val="0"/>
                <w:sz w:val="16"/>
              </w:rPr>
              <w:t>584</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Consent, Address (standalone), RM (standalone)</w:t>
            </w:r>
          </w:p>
        </w:tc>
        <w:tc>
          <w:tcPr>
            <w:tcW w:type="dxa" w:w="1662"/>
            <w:shd w:fill="E2EFDA" w:val="clear"/>
          </w:tcPr>
          <w:p>
            <w:pPr>
              <w:spacing w:after="0"/>
            </w:pPr>
            <w:r/>
            <w:r>
              <w:rPr>
                <w:b/>
                <w:i w:val="0"/>
                <w:sz w:val="16"/>
              </w:rPr>
              <w:t>GOOD — needs refinement</w:t>
            </w:r>
          </w:p>
        </w:tc>
      </w:tr>
      <w:tr>
        <w:tc>
          <w:tcPr>
            <w:tcW w:type="dxa" w:w="1662"/>
          </w:tcPr>
          <w:p>
            <w:pPr>
              <w:spacing w:after="0"/>
            </w:pPr>
            <w:r/>
            <w:r>
              <w:rPr>
                <w:b w:val="0"/>
                <w:i w:val="0"/>
                <w:sz w:val="16"/>
              </w:rPr>
              <w:t>Account</w:t>
            </w:r>
          </w:p>
        </w:tc>
        <w:tc>
          <w:tcPr>
            <w:tcW w:type="dxa" w:w="1662"/>
          </w:tcPr>
          <w:p>
            <w:pPr>
              <w:spacing w:after="0"/>
            </w:pPr>
            <w:r/>
            <w:r>
              <w:rPr>
                <w:b w:val="0"/>
                <w:i w:val="0"/>
                <w:sz w:val="16"/>
              </w:rPr>
              <w:t>30</w:t>
            </w:r>
          </w:p>
        </w:tc>
        <w:tc>
          <w:tcPr>
            <w:tcW w:type="dxa" w:w="1662"/>
          </w:tcPr>
          <w:p>
            <w:pPr>
              <w:spacing w:after="0"/>
            </w:pPr>
            <w:r/>
            <w:r>
              <w:rPr>
                <w:b w:val="0"/>
                <w:i w:val="0"/>
                <w:sz w:val="16"/>
              </w:rPr>
              <w:t>342</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Interest_Rate_History, Fee</w:t>
            </w:r>
          </w:p>
        </w:tc>
        <w:tc>
          <w:tcPr>
            <w:tcW w:type="dxa" w:w="1662"/>
            <w:shd w:fill="FFF2CC" w:val="clear"/>
          </w:tcPr>
          <w:p>
            <w:pPr>
              <w:spacing w:after="0"/>
            </w:pPr>
            <w:r/>
            <w:r>
              <w:rPr>
                <w:b/>
                <w:i w:val="0"/>
                <w:sz w:val="16"/>
              </w:rPr>
              <w:t>MODERATE — type fixes needed</w:t>
            </w:r>
          </w:p>
        </w:tc>
      </w:tr>
      <w:tr>
        <w:tc>
          <w:tcPr>
            <w:tcW w:type="dxa" w:w="1662"/>
          </w:tcPr>
          <w:p>
            <w:pPr>
              <w:spacing w:after="0"/>
            </w:pPr>
            <w:r/>
            <w:r>
              <w:rPr>
                <w:b w:val="0"/>
                <w:i w:val="0"/>
                <w:sz w:val="16"/>
              </w:rPr>
              <w:t>Loan</w:t>
            </w:r>
          </w:p>
        </w:tc>
        <w:tc>
          <w:tcPr>
            <w:tcW w:type="dxa" w:w="1662"/>
          </w:tcPr>
          <w:p>
            <w:pPr>
              <w:spacing w:after="0"/>
            </w:pPr>
            <w:r/>
            <w:r>
              <w:rPr>
                <w:b w:val="0"/>
                <w:i w:val="0"/>
                <w:sz w:val="16"/>
              </w:rPr>
              <w:t>36</w:t>
            </w:r>
          </w:p>
        </w:tc>
        <w:tc>
          <w:tcPr>
            <w:tcW w:type="dxa" w:w="1662"/>
          </w:tcPr>
          <w:p>
            <w:pPr>
              <w:spacing w:after="0"/>
            </w:pPr>
            <w:r/>
            <w:r>
              <w:rPr>
                <w:b w:val="0"/>
                <w:i w:val="0"/>
                <w:sz w:val="16"/>
              </w:rPr>
              <w:t>597</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ECL_Parameters, Modification_History, Write_Off</w:t>
            </w:r>
          </w:p>
        </w:tc>
        <w:tc>
          <w:tcPr>
            <w:tcW w:type="dxa" w:w="1662"/>
            <w:shd w:fill="FFE699" w:val="clear"/>
          </w:tcPr>
          <w:p>
            <w:pPr>
              <w:spacing w:after="0"/>
            </w:pPr>
            <w:r/>
            <w:r>
              <w:rPr>
                <w:b/>
                <w:i w:val="0"/>
                <w:sz w:val="16"/>
              </w:rPr>
              <w:t>MODERATE — critical gaps</w:t>
            </w:r>
          </w:p>
        </w:tc>
      </w:tr>
      <w:tr>
        <w:tc>
          <w:tcPr>
            <w:tcW w:type="dxa" w:w="1662"/>
          </w:tcPr>
          <w:p>
            <w:pPr>
              <w:spacing w:after="0"/>
            </w:pPr>
            <w:r/>
            <w:r>
              <w:rPr>
                <w:b w:val="0"/>
                <w:i w:val="0"/>
                <w:sz w:val="16"/>
              </w:rPr>
              <w:t>Credit Card</w:t>
            </w:r>
          </w:p>
        </w:tc>
        <w:tc>
          <w:tcPr>
            <w:tcW w:type="dxa" w:w="1662"/>
          </w:tcPr>
          <w:p>
            <w:pPr>
              <w:spacing w:after="0"/>
            </w:pPr>
            <w:r/>
            <w:r>
              <w:rPr>
                <w:b w:val="0"/>
                <w:i w:val="0"/>
                <w:sz w:val="16"/>
              </w:rPr>
              <w:t>50</w:t>
            </w:r>
          </w:p>
        </w:tc>
        <w:tc>
          <w:tcPr>
            <w:tcW w:type="dxa" w:w="1662"/>
          </w:tcPr>
          <w:p>
            <w:pPr>
              <w:spacing w:after="0"/>
            </w:pPr>
            <w:r/>
            <w:r>
              <w:rPr>
                <w:b w:val="0"/>
                <w:i w:val="0"/>
                <w:sz w:val="16"/>
              </w:rPr>
              <w:t>830</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Dispute, Auth_Request</w:t>
            </w:r>
          </w:p>
        </w:tc>
        <w:tc>
          <w:tcPr>
            <w:tcW w:type="dxa" w:w="1662"/>
            <w:shd w:fill="FFFFFF" w:val="clear"/>
          </w:tcPr>
          <w:p>
            <w:pPr>
              <w:spacing w:after="0"/>
            </w:pPr>
            <w:r/>
            <w:r>
              <w:rPr>
                <w:b/>
                <w:i w:val="0"/>
                <w:sz w:val="16"/>
              </w:rPr>
              <w:t>GOOD — normalisation fixes needed</w:t>
            </w:r>
          </w:p>
        </w:tc>
      </w:tr>
      <w:tr>
        <w:tc>
          <w:tcPr>
            <w:tcW w:type="dxa" w:w="1662"/>
          </w:tcPr>
          <w:p>
            <w:pPr>
              <w:spacing w:after="0"/>
            </w:pPr>
            <w:r/>
            <w:r>
              <w:rPr>
                <w:b w:val="0"/>
                <w:i w:val="0"/>
                <w:sz w:val="16"/>
              </w:rPr>
              <w:t>CASA (Bank Statement)</w:t>
            </w:r>
          </w:p>
        </w:tc>
        <w:tc>
          <w:tcPr>
            <w:tcW w:type="dxa" w:w="1662"/>
          </w:tcPr>
          <w:p>
            <w:pPr>
              <w:spacing w:after="0"/>
            </w:pPr>
            <w:r/>
            <w:r>
              <w:rPr>
                <w:b w:val="0"/>
                <w:i w:val="0"/>
                <w:sz w:val="16"/>
              </w:rPr>
              <w:t>29</w:t>
            </w:r>
          </w:p>
        </w:tc>
        <w:tc>
          <w:tcPr>
            <w:tcW w:type="dxa" w:w="1662"/>
          </w:tcPr>
          <w:p>
            <w:pPr>
              <w:spacing w:after="0"/>
            </w:pPr>
            <w:r/>
            <w:r>
              <w:rPr>
                <w:b w:val="0"/>
                <w:i w:val="0"/>
                <w:sz w:val="16"/>
              </w:rPr>
              <w:t>338</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Interest_Posting, Charge_Event</w:t>
            </w:r>
          </w:p>
        </w:tc>
        <w:tc>
          <w:tcPr>
            <w:tcW w:type="dxa" w:w="1662"/>
            <w:shd w:fill="FFF2CC" w:val="clear"/>
          </w:tcPr>
          <w:p>
            <w:pPr>
              <w:spacing w:after="0"/>
            </w:pPr>
            <w:r/>
            <w:r>
              <w:rPr>
                <w:b/>
                <w:i w:val="0"/>
                <w:sz w:val="16"/>
              </w:rPr>
              <w:t>MODERATE</w:t>
            </w:r>
          </w:p>
        </w:tc>
      </w:tr>
      <w:tr>
        <w:tc>
          <w:tcPr>
            <w:tcW w:type="dxa" w:w="1662"/>
          </w:tcPr>
          <w:p>
            <w:pPr>
              <w:spacing w:after="0"/>
            </w:pPr>
            <w:r/>
            <w:r>
              <w:rPr>
                <w:b w:val="0"/>
                <w:i w:val="0"/>
                <w:sz w:val="16"/>
              </w:rPr>
              <w:t>Deposit</w:t>
            </w:r>
          </w:p>
        </w:tc>
        <w:tc>
          <w:tcPr>
            <w:tcW w:type="dxa" w:w="1662"/>
          </w:tcPr>
          <w:p>
            <w:pPr>
              <w:spacing w:after="0"/>
            </w:pPr>
            <w:r/>
            <w:r>
              <w:rPr>
                <w:b w:val="0"/>
                <w:i w:val="0"/>
                <w:sz w:val="16"/>
              </w:rPr>
              <w:t>22</w:t>
            </w:r>
          </w:p>
        </w:tc>
        <w:tc>
          <w:tcPr>
            <w:tcW w:type="dxa" w:w="1662"/>
          </w:tcPr>
          <w:p>
            <w:pPr>
              <w:spacing w:after="0"/>
            </w:pPr>
            <w:r/>
            <w:r>
              <w:rPr>
                <w:b w:val="0"/>
                <w:i w:val="0"/>
                <w:sz w:val="16"/>
              </w:rPr>
              <w:t>262</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Interest_Accrual, Rollover_History, Islamic</w:t>
            </w:r>
          </w:p>
        </w:tc>
        <w:tc>
          <w:tcPr>
            <w:tcW w:type="dxa" w:w="1662"/>
            <w:shd w:fill="FFB3B3" w:val="clear"/>
          </w:tcPr>
          <w:p>
            <w:pPr>
              <w:spacing w:after="0"/>
            </w:pPr>
            <w:r/>
            <w:r>
              <w:rPr>
                <w:b/>
                <w:i w:val="0"/>
                <w:sz w:val="16"/>
              </w:rPr>
              <w:t>POOR — critically thin</w:t>
            </w:r>
          </w:p>
        </w:tc>
      </w:tr>
      <w:tr>
        <w:tc>
          <w:tcPr>
            <w:tcW w:type="dxa" w:w="1662"/>
          </w:tcPr>
          <w:p>
            <w:pPr>
              <w:spacing w:after="0"/>
            </w:pPr>
            <w:r/>
            <w:r>
              <w:rPr>
                <w:b w:val="0"/>
                <w:i w:val="0"/>
                <w:sz w:val="16"/>
              </w:rPr>
              <w:t>GL</w:t>
            </w:r>
          </w:p>
        </w:tc>
        <w:tc>
          <w:tcPr>
            <w:tcW w:type="dxa" w:w="1662"/>
          </w:tcPr>
          <w:p>
            <w:pPr>
              <w:spacing w:after="0"/>
            </w:pPr>
            <w:r/>
            <w:r>
              <w:rPr>
                <w:b w:val="0"/>
                <w:i w:val="0"/>
                <w:sz w:val="16"/>
              </w:rPr>
              <w:t>7</w:t>
            </w:r>
          </w:p>
        </w:tc>
        <w:tc>
          <w:tcPr>
            <w:tcW w:type="dxa" w:w="1662"/>
          </w:tcPr>
          <w:p>
            <w:pPr>
              <w:spacing w:after="0"/>
            </w:pPr>
            <w:r/>
            <w:r>
              <w:rPr>
                <w:b w:val="0"/>
                <w:i w:val="0"/>
                <w:sz w:val="16"/>
              </w:rPr>
              <w:t>103</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Journal_Header, Period, Period_Balance</w:t>
            </w:r>
          </w:p>
        </w:tc>
        <w:tc>
          <w:tcPr>
            <w:tcW w:type="dxa" w:w="1662"/>
            <w:shd w:fill="FFB3B3" w:val="clear"/>
          </w:tcPr>
          <w:p>
            <w:pPr>
              <w:spacing w:after="0"/>
            </w:pPr>
            <w:r/>
            <w:r>
              <w:rPr>
                <w:b/>
                <w:i w:val="0"/>
                <w:sz w:val="16"/>
              </w:rPr>
              <w:t>POOR — not fit for reporting</w:t>
            </w:r>
          </w:p>
        </w:tc>
      </w:tr>
      <w:tr>
        <w:tc>
          <w:tcPr>
            <w:tcW w:type="dxa" w:w="1662"/>
          </w:tcPr>
          <w:p>
            <w:pPr>
              <w:spacing w:after="0"/>
            </w:pPr>
            <w:r/>
            <w:r>
              <w:rPr>
                <w:b w:val="0"/>
                <w:i w:val="0"/>
                <w:sz w:val="16"/>
              </w:rPr>
              <w:t>Application</w:t>
            </w:r>
          </w:p>
        </w:tc>
        <w:tc>
          <w:tcPr>
            <w:tcW w:type="dxa" w:w="1662"/>
          </w:tcPr>
          <w:p>
            <w:pPr>
              <w:spacing w:after="0"/>
            </w:pPr>
            <w:r/>
            <w:r>
              <w:rPr>
                <w:b w:val="0"/>
                <w:i w:val="0"/>
                <w:sz w:val="16"/>
              </w:rPr>
              <w:t>28</w:t>
            </w:r>
          </w:p>
        </w:tc>
        <w:tc>
          <w:tcPr>
            <w:tcW w:type="dxa" w:w="1662"/>
          </w:tcPr>
          <w:p>
            <w:pPr>
              <w:spacing w:after="0"/>
            </w:pPr>
            <w:r/>
            <w:r>
              <w:rPr>
                <w:b w:val="0"/>
                <w:i w:val="0"/>
                <w:sz w:val="16"/>
              </w:rPr>
              <w:t>408</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Decision_History</w:t>
            </w:r>
          </w:p>
        </w:tc>
        <w:tc>
          <w:tcPr>
            <w:tcW w:type="dxa" w:w="1662"/>
            <w:shd w:fill="FFF2CC" w:val="clear"/>
          </w:tcPr>
          <w:p>
            <w:pPr>
              <w:spacing w:after="0"/>
            </w:pPr>
            <w:r/>
            <w:r>
              <w:rPr>
                <w:b/>
                <w:i w:val="0"/>
                <w:sz w:val="16"/>
              </w:rPr>
              <w:t>MODERATE — ref data cleanup</w:t>
            </w:r>
          </w:p>
        </w:tc>
      </w:tr>
      <w:tr>
        <w:tc>
          <w:tcPr>
            <w:tcW w:type="dxa" w:w="1662"/>
          </w:tcPr>
          <w:p>
            <w:pPr>
              <w:spacing w:after="0"/>
            </w:pPr>
            <w:r/>
            <w:r>
              <w:rPr>
                <w:b w:val="0"/>
                <w:i w:val="0"/>
                <w:sz w:val="16"/>
              </w:rPr>
              <w:t>Bank Asset (Risk related)</w:t>
            </w:r>
          </w:p>
        </w:tc>
        <w:tc>
          <w:tcPr>
            <w:tcW w:type="dxa" w:w="1662"/>
          </w:tcPr>
          <w:p>
            <w:pPr>
              <w:spacing w:after="0"/>
            </w:pPr>
            <w:r/>
            <w:r>
              <w:rPr>
                <w:b w:val="0"/>
                <w:i w:val="0"/>
                <w:sz w:val="16"/>
              </w:rPr>
              <w:t>5</w:t>
            </w:r>
          </w:p>
        </w:tc>
        <w:tc>
          <w:tcPr>
            <w:tcW w:type="dxa" w:w="1662"/>
          </w:tcPr>
          <w:p>
            <w:pPr>
              <w:spacing w:after="0"/>
            </w:pPr>
            <w:r/>
            <w:r>
              <w:rPr>
                <w:b w:val="0"/>
                <w:i w:val="0"/>
                <w:sz w:val="16"/>
              </w:rPr>
              <w:t>80</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CAR, RWA, NSFR, LCR</w:t>
            </w:r>
          </w:p>
        </w:tc>
        <w:tc>
          <w:tcPr>
            <w:tcW w:type="dxa" w:w="1662"/>
            <w:shd w:fill="FFB3B3" w:val="clear"/>
          </w:tcPr>
          <w:p>
            <w:pPr>
              <w:spacing w:after="0"/>
            </w:pPr>
            <w:r/>
            <w:r>
              <w:rPr>
                <w:b/>
                <w:i w:val="0"/>
                <w:sz w:val="16"/>
              </w:rPr>
              <w:t>POOR — incomplete for Basel III</w:t>
            </w:r>
          </w:p>
        </w:tc>
      </w:tr>
      <w:tr>
        <w:tc>
          <w:tcPr>
            <w:tcW w:type="dxa" w:w="1662"/>
          </w:tcPr>
          <w:p>
            <w:pPr>
              <w:spacing w:after="0"/>
            </w:pPr>
            <w:r/>
            <w:r>
              <w:rPr>
                <w:b w:val="0"/>
                <w:i w:val="0"/>
                <w:sz w:val="16"/>
              </w:rPr>
              <w:t>Customer Collateral</w:t>
            </w:r>
          </w:p>
        </w:tc>
        <w:tc>
          <w:tcPr>
            <w:tcW w:type="dxa" w:w="1662"/>
          </w:tcPr>
          <w:p>
            <w:pPr>
              <w:spacing w:after="0"/>
            </w:pPr>
            <w:r/>
            <w:r>
              <w:rPr>
                <w:b w:val="0"/>
                <w:i w:val="0"/>
                <w:sz w:val="16"/>
              </w:rPr>
              <w:t>12</w:t>
            </w:r>
          </w:p>
        </w:tc>
        <w:tc>
          <w:tcPr>
            <w:tcW w:type="dxa" w:w="1662"/>
          </w:tcPr>
          <w:p>
            <w:pPr>
              <w:spacing w:after="0"/>
            </w:pPr>
            <w:r/>
            <w:r>
              <w:rPr>
                <w:b w:val="0"/>
                <w:i w:val="0"/>
                <w:sz w:val="16"/>
              </w:rPr>
              <w:t>122</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Valuation_History, Legal_Document</w:t>
            </w:r>
          </w:p>
        </w:tc>
        <w:tc>
          <w:tcPr>
            <w:tcW w:type="dxa" w:w="1662"/>
            <w:shd w:fill="FFF2CC" w:val="clear"/>
          </w:tcPr>
          <w:p>
            <w:pPr>
              <w:spacing w:after="0"/>
            </w:pPr>
            <w:r/>
            <w:r>
              <w:rPr>
                <w:b/>
                <w:i w:val="0"/>
                <w:sz w:val="16"/>
              </w:rPr>
              <w:t>MODERATE</w:t>
            </w:r>
          </w:p>
        </w:tc>
      </w:tr>
      <w:tr>
        <w:tc>
          <w:tcPr>
            <w:tcW w:type="dxa" w:w="1662"/>
          </w:tcPr>
          <w:p>
            <w:pPr>
              <w:spacing w:after="0"/>
            </w:pPr>
            <w:r/>
            <w:r>
              <w:rPr>
                <w:b w:val="0"/>
                <w:i w:val="0"/>
                <w:sz w:val="16"/>
              </w:rPr>
              <w:t>Customer Risk Rating</w:t>
            </w:r>
          </w:p>
        </w:tc>
        <w:tc>
          <w:tcPr>
            <w:tcW w:type="dxa" w:w="1662"/>
          </w:tcPr>
          <w:p>
            <w:pPr>
              <w:spacing w:after="0"/>
            </w:pPr>
            <w:r/>
            <w:r>
              <w:rPr>
                <w:b w:val="0"/>
                <w:i w:val="0"/>
                <w:sz w:val="16"/>
              </w:rPr>
              <w:t>9</w:t>
            </w:r>
          </w:p>
        </w:tc>
        <w:tc>
          <w:tcPr>
            <w:tcW w:type="dxa" w:w="1662"/>
          </w:tcPr>
          <w:p>
            <w:pPr>
              <w:spacing w:after="0"/>
            </w:pPr>
            <w:r/>
            <w:r>
              <w:rPr>
                <w:b w:val="0"/>
                <w:i w:val="0"/>
                <w:sz w:val="16"/>
              </w:rPr>
              <w:t>249</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ECL_Parameters, Watchlist</w:t>
            </w:r>
          </w:p>
        </w:tc>
        <w:tc>
          <w:tcPr>
            <w:tcW w:type="dxa" w:w="1662"/>
            <w:shd w:fill="FFF2CC" w:val="clear"/>
          </w:tcPr>
          <w:p>
            <w:pPr>
              <w:spacing w:after="0"/>
            </w:pPr>
            <w:r/>
            <w:r>
              <w:rPr>
                <w:b/>
                <w:i w:val="0"/>
                <w:sz w:val="16"/>
              </w:rPr>
              <w:t>MODERATE</w:t>
            </w:r>
          </w:p>
        </w:tc>
      </w:tr>
      <w:tr>
        <w:tc>
          <w:tcPr>
            <w:tcW w:type="dxa" w:w="1662"/>
          </w:tcPr>
          <w:p>
            <w:pPr>
              <w:spacing w:after="0"/>
            </w:pPr>
            <w:r/>
            <w:r>
              <w:rPr>
                <w:b w:val="0"/>
                <w:i w:val="0"/>
                <w:sz w:val="16"/>
              </w:rPr>
              <w:t>ORM</w:t>
            </w:r>
          </w:p>
        </w:tc>
        <w:tc>
          <w:tcPr>
            <w:tcW w:type="dxa" w:w="1662"/>
          </w:tcPr>
          <w:p>
            <w:pPr>
              <w:spacing w:after="0"/>
            </w:pPr>
            <w:r/>
            <w:r>
              <w:rPr>
                <w:b w:val="0"/>
                <w:i w:val="0"/>
                <w:sz w:val="16"/>
              </w:rPr>
              <w:t>39</w:t>
            </w:r>
          </w:p>
        </w:tc>
        <w:tc>
          <w:tcPr>
            <w:tcW w:type="dxa" w:w="1662"/>
          </w:tcPr>
          <w:p>
            <w:pPr>
              <w:spacing w:after="0"/>
            </w:pPr>
            <w:r/>
            <w:r>
              <w:rPr>
                <w:b w:val="0"/>
                <w:i w:val="0"/>
                <w:sz w:val="16"/>
              </w:rPr>
              <w:t>611</w:t>
            </w:r>
          </w:p>
        </w:tc>
        <w:tc>
          <w:tcPr>
            <w:tcW w:type="dxa" w:w="1662"/>
            <w:shd w:fill="FFB3B3" w:val="clear"/>
          </w:tcPr>
          <w:p>
            <w:pPr>
              <w:spacing w:after="0"/>
            </w:pPr>
            <w:r/>
            <w:r>
              <w:rPr>
                <w:b w:val="0"/>
                <w:i w:val="0"/>
                <w:sz w:val="16"/>
              </w:rPr>
              <w:t>14</w:t>
            </w:r>
          </w:p>
        </w:tc>
        <w:tc>
          <w:tcPr>
            <w:tcW w:type="dxa" w:w="1662"/>
          </w:tcPr>
          <w:p>
            <w:pPr>
              <w:spacing w:after="0"/>
            </w:pPr>
            <w:r/>
            <w:r>
              <w:rPr>
                <w:b w:val="0"/>
                <w:i w:val="0"/>
                <w:sz w:val="14"/>
              </w:rPr>
              <w:t>External_Loss_Data</w:t>
            </w:r>
          </w:p>
        </w:tc>
        <w:tc>
          <w:tcPr>
            <w:tcW w:type="dxa" w:w="1662"/>
            <w:shd w:fill="FFB3B3" w:val="clear"/>
          </w:tcPr>
          <w:p>
            <w:pPr>
              <w:spacing w:after="0"/>
            </w:pPr>
            <w:r/>
            <w:r>
              <w:rPr>
                <w:b/>
                <w:i w:val="0"/>
                <w:sz w:val="16"/>
              </w:rPr>
              <w:t>POOR — Gold content present</w:t>
            </w:r>
          </w:p>
        </w:tc>
      </w:tr>
      <w:tr>
        <w:tc>
          <w:tcPr>
            <w:tcW w:type="dxa" w:w="1662"/>
          </w:tcPr>
          <w:p>
            <w:pPr>
              <w:spacing w:after="0"/>
            </w:pPr>
            <w:r/>
            <w:r>
              <w:rPr>
                <w:b w:val="0"/>
                <w:i w:val="0"/>
                <w:sz w:val="16"/>
              </w:rPr>
              <w:t>Trade Finance</w:t>
            </w:r>
          </w:p>
        </w:tc>
        <w:tc>
          <w:tcPr>
            <w:tcW w:type="dxa" w:w="1662"/>
          </w:tcPr>
          <w:p>
            <w:pPr>
              <w:spacing w:after="0"/>
            </w:pPr>
            <w:r/>
            <w:r>
              <w:rPr>
                <w:b w:val="0"/>
                <w:i w:val="0"/>
                <w:sz w:val="16"/>
              </w:rPr>
              <w:t>38</w:t>
            </w:r>
          </w:p>
        </w:tc>
        <w:tc>
          <w:tcPr>
            <w:tcW w:type="dxa" w:w="1662"/>
          </w:tcPr>
          <w:p>
            <w:pPr>
              <w:spacing w:after="0"/>
            </w:pPr>
            <w:r/>
            <w:r>
              <w:rPr>
                <w:b w:val="0"/>
                <w:i w:val="0"/>
                <w:sz w:val="16"/>
              </w:rPr>
              <w:t>681</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LC_Amendment, Trade_Document, Compliance_Check</w:t>
            </w:r>
          </w:p>
        </w:tc>
        <w:tc>
          <w:tcPr>
            <w:tcW w:type="dxa" w:w="1662"/>
            <w:shd w:fill="FFF2CC" w:val="clear"/>
          </w:tcPr>
          <w:p>
            <w:pPr>
              <w:spacing w:after="0"/>
            </w:pPr>
            <w:r/>
            <w:r>
              <w:rPr>
                <w:b/>
                <w:i w:val="0"/>
                <w:sz w:val="16"/>
              </w:rPr>
              <w:t>MODERATE — SA boundary issue</w:t>
            </w:r>
          </w:p>
        </w:tc>
      </w:tr>
      <w:tr>
        <w:tc>
          <w:tcPr>
            <w:tcW w:type="dxa" w:w="1662"/>
          </w:tcPr>
          <w:p>
            <w:pPr>
              <w:spacing w:after="0"/>
            </w:pPr>
            <w:r/>
            <w:r>
              <w:rPr>
                <w:b w:val="0"/>
                <w:i w:val="0"/>
                <w:sz w:val="16"/>
              </w:rPr>
              <w:t>Investment</w:t>
            </w:r>
          </w:p>
        </w:tc>
        <w:tc>
          <w:tcPr>
            <w:tcW w:type="dxa" w:w="1662"/>
          </w:tcPr>
          <w:p>
            <w:pPr>
              <w:spacing w:after="0"/>
            </w:pPr>
            <w:r/>
            <w:r>
              <w:rPr>
                <w:b w:val="0"/>
                <w:i w:val="0"/>
                <w:sz w:val="16"/>
              </w:rPr>
              <w:t>31</w:t>
            </w:r>
          </w:p>
        </w:tc>
        <w:tc>
          <w:tcPr>
            <w:tcW w:type="dxa" w:w="1662"/>
          </w:tcPr>
          <w:p>
            <w:pPr>
              <w:spacing w:after="0"/>
            </w:pPr>
            <w:r/>
            <w:r>
              <w:rPr>
                <w:b w:val="0"/>
                <w:i w:val="0"/>
                <w:sz w:val="16"/>
              </w:rPr>
              <w:t>594</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NAV_History, Custodian</w:t>
            </w:r>
          </w:p>
        </w:tc>
        <w:tc>
          <w:tcPr>
            <w:tcW w:type="dxa" w:w="1662"/>
            <w:shd w:fill="FFF2CC" w:val="clear"/>
          </w:tcPr>
          <w:p>
            <w:pPr>
              <w:spacing w:after="0"/>
            </w:pPr>
            <w:r/>
            <w:r>
              <w:rPr>
                <w:b/>
                <w:i w:val="0"/>
                <w:sz w:val="16"/>
              </w:rPr>
              <w:t>MODERATE — overlap with Trade</w:t>
            </w:r>
          </w:p>
        </w:tc>
      </w:tr>
      <w:tr>
        <w:tc>
          <w:tcPr>
            <w:tcW w:type="dxa" w:w="1662"/>
          </w:tcPr>
          <w:p>
            <w:pPr>
              <w:spacing w:after="0"/>
            </w:pPr>
            <w:r/>
            <w:r>
              <w:rPr>
                <w:b w:val="0"/>
                <w:i w:val="0"/>
                <w:sz w:val="16"/>
              </w:rPr>
              <w:t>Txn - Electronic Channel</w:t>
            </w:r>
          </w:p>
        </w:tc>
        <w:tc>
          <w:tcPr>
            <w:tcW w:type="dxa" w:w="1662"/>
          </w:tcPr>
          <w:p>
            <w:pPr>
              <w:spacing w:after="0"/>
            </w:pPr>
            <w:r/>
            <w:r>
              <w:rPr>
                <w:b w:val="0"/>
                <w:i w:val="0"/>
                <w:sz w:val="16"/>
              </w:rPr>
              <w:t>47</w:t>
            </w:r>
          </w:p>
        </w:tc>
        <w:tc>
          <w:tcPr>
            <w:tcW w:type="dxa" w:w="1662"/>
          </w:tcPr>
          <w:p>
            <w:pPr>
              <w:spacing w:after="0"/>
            </w:pPr>
            <w:r/>
            <w:r>
              <w:rPr>
                <w:b w:val="0"/>
                <w:i w:val="0"/>
                <w:sz w:val="16"/>
              </w:rPr>
              <w:t>792</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Real_Time_Payment, SWIFT_Message, Screening</w:t>
            </w:r>
          </w:p>
        </w:tc>
        <w:tc>
          <w:tcPr>
            <w:tcW w:type="dxa" w:w="1662"/>
            <w:shd w:fill="FFF2CC" w:val="clear"/>
          </w:tcPr>
          <w:p>
            <w:pPr>
              <w:spacing w:after="0"/>
            </w:pPr>
            <w:r/>
            <w:r>
              <w:rPr>
                <w:b/>
                <w:i w:val="0"/>
                <w:sz w:val="16"/>
              </w:rPr>
              <w:t>MODERATE</w:t>
            </w:r>
          </w:p>
        </w:tc>
      </w:tr>
      <w:tr>
        <w:tc>
          <w:tcPr>
            <w:tcW w:type="dxa" w:w="1662"/>
          </w:tcPr>
          <w:p>
            <w:pPr>
              <w:spacing w:after="0"/>
            </w:pPr>
            <w:r/>
            <w:r>
              <w:rPr>
                <w:b w:val="0"/>
                <w:i w:val="0"/>
                <w:sz w:val="16"/>
              </w:rPr>
              <w:t>Txn - Non-Electronic Channel</w:t>
            </w:r>
          </w:p>
        </w:tc>
        <w:tc>
          <w:tcPr>
            <w:tcW w:type="dxa" w:w="1662"/>
          </w:tcPr>
          <w:p>
            <w:pPr>
              <w:spacing w:after="0"/>
            </w:pPr>
            <w:r/>
            <w:r>
              <w:rPr>
                <w:b w:val="0"/>
                <w:i w:val="0"/>
                <w:sz w:val="16"/>
              </w:rPr>
              <w:t>10</w:t>
            </w:r>
          </w:p>
        </w:tc>
        <w:tc>
          <w:tcPr>
            <w:tcW w:type="dxa" w:w="1662"/>
          </w:tcPr>
          <w:p>
            <w:pPr>
              <w:spacing w:after="0"/>
            </w:pPr>
            <w:r/>
            <w:r>
              <w:rPr>
                <w:b w:val="0"/>
                <w:i w:val="0"/>
                <w:sz w:val="16"/>
              </w:rPr>
              <w:t>193</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ATM_Session, Teller_Session</w:t>
            </w:r>
          </w:p>
        </w:tc>
        <w:tc>
          <w:tcPr>
            <w:tcW w:type="dxa" w:w="1662"/>
            <w:shd w:fill="FFF2CC" w:val="clear"/>
          </w:tcPr>
          <w:p>
            <w:pPr>
              <w:spacing w:after="0"/>
            </w:pPr>
            <w:r/>
            <w:r>
              <w:rPr>
                <w:b/>
                <w:i w:val="0"/>
                <w:sz w:val="16"/>
              </w:rPr>
              <w:t>MODERATE</w:t>
            </w:r>
          </w:p>
        </w:tc>
      </w:tr>
      <w:tr>
        <w:tc>
          <w:tcPr>
            <w:tcW w:type="dxa" w:w="1662"/>
            <w:shd w:fill="C00000" w:val="clear"/>
          </w:tcPr>
          <w:p>
            <w:pPr>
              <w:spacing w:after="0"/>
            </w:pPr>
            <w:r/>
            <w:r>
              <w:rPr>
                <w:b/>
                <w:i w:val="0"/>
                <w:color w:val="FFFFFF"/>
                <w:sz w:val="16"/>
              </w:rPr>
              <w:t>MISSING: Payments &amp; Clearing</w:t>
            </w:r>
          </w:p>
        </w:tc>
        <w:tc>
          <w:tcPr>
            <w:tcW w:type="dxa" w:w="1662"/>
          </w:tcPr>
          <w:p>
            <w:pPr>
              <w:spacing w:after="0"/>
            </w:pPr>
            <w:r/>
            <w:r>
              <w:rPr>
                <w:b w:val="0"/>
                <w:i w:val="0"/>
                <w:color w:val="FFFFFF"/>
                <w:sz w:val="16"/>
              </w:rPr>
              <w:t>—</w:t>
            </w:r>
          </w:p>
        </w:tc>
        <w:tc>
          <w:tcPr>
            <w:tcW w:type="dxa" w:w="1662"/>
          </w:tcPr>
          <w:p>
            <w:pPr>
              <w:spacing w:after="0"/>
            </w:pPr>
            <w:r/>
            <w:r>
              <w:rPr>
                <w:b w:val="0"/>
                <w:i w:val="0"/>
                <w:color w:val="FFFFFF"/>
                <w:sz w:val="16"/>
              </w:rPr>
              <w:t>—</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All entities</w:t>
            </w:r>
          </w:p>
        </w:tc>
        <w:tc>
          <w:tcPr>
            <w:tcW w:type="dxa" w:w="1662"/>
            <w:shd w:fill="C00000" w:val="clear"/>
          </w:tcPr>
          <w:p>
            <w:pPr>
              <w:spacing w:after="0"/>
            </w:pPr>
            <w:r/>
            <w:r>
              <w:rPr>
                <w:b/>
                <w:i w:val="0"/>
                <w:color w:val="FFFFFF"/>
                <w:sz w:val="16"/>
              </w:rPr>
              <w:t>ABSENT</w:t>
            </w:r>
          </w:p>
        </w:tc>
      </w:tr>
      <w:tr>
        <w:tc>
          <w:tcPr>
            <w:tcW w:type="dxa" w:w="1662"/>
            <w:shd w:fill="C00000" w:val="clear"/>
          </w:tcPr>
          <w:p>
            <w:pPr>
              <w:spacing w:after="0"/>
            </w:pPr>
            <w:r/>
            <w:r>
              <w:rPr>
                <w:b/>
                <w:i w:val="0"/>
                <w:color w:val="FFFFFF"/>
                <w:sz w:val="16"/>
              </w:rPr>
              <w:t>MISSING: Product Catalog</w:t>
            </w:r>
          </w:p>
        </w:tc>
        <w:tc>
          <w:tcPr>
            <w:tcW w:type="dxa" w:w="1662"/>
          </w:tcPr>
          <w:p>
            <w:pPr>
              <w:spacing w:after="0"/>
            </w:pPr>
            <w:r/>
            <w:r>
              <w:rPr>
                <w:b w:val="0"/>
                <w:i w:val="0"/>
                <w:color w:val="FFFFFF"/>
                <w:sz w:val="16"/>
              </w:rPr>
              <w:t>—</w:t>
            </w:r>
          </w:p>
        </w:tc>
        <w:tc>
          <w:tcPr>
            <w:tcW w:type="dxa" w:w="1662"/>
          </w:tcPr>
          <w:p>
            <w:pPr>
              <w:spacing w:after="0"/>
            </w:pPr>
            <w:r/>
            <w:r>
              <w:rPr>
                <w:b w:val="0"/>
                <w:i w:val="0"/>
                <w:color w:val="FFFFFF"/>
                <w:sz w:val="16"/>
              </w:rPr>
              <w:t>—</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All entities</w:t>
            </w:r>
          </w:p>
        </w:tc>
        <w:tc>
          <w:tcPr>
            <w:tcW w:type="dxa" w:w="1662"/>
            <w:shd w:fill="C00000" w:val="clear"/>
          </w:tcPr>
          <w:p>
            <w:pPr>
              <w:spacing w:after="0"/>
            </w:pPr>
            <w:r/>
            <w:r>
              <w:rPr>
                <w:b/>
                <w:i w:val="0"/>
                <w:color w:val="FFFFFF"/>
                <w:sz w:val="16"/>
              </w:rPr>
              <w:t>ABSENT</w:t>
            </w:r>
          </w:p>
        </w:tc>
      </w:tr>
      <w:tr>
        <w:tc>
          <w:tcPr>
            <w:tcW w:type="dxa" w:w="1662"/>
            <w:shd w:fill="C00000" w:val="clear"/>
          </w:tcPr>
          <w:p>
            <w:pPr>
              <w:spacing w:after="0"/>
            </w:pPr>
            <w:r/>
            <w:r>
              <w:rPr>
                <w:b/>
                <w:i w:val="0"/>
                <w:color w:val="FFFFFF"/>
                <w:sz w:val="16"/>
              </w:rPr>
              <w:t>MISSING: AML / Compliance</w:t>
            </w:r>
          </w:p>
        </w:tc>
        <w:tc>
          <w:tcPr>
            <w:tcW w:type="dxa" w:w="1662"/>
          </w:tcPr>
          <w:p>
            <w:pPr>
              <w:spacing w:after="0"/>
            </w:pPr>
            <w:r/>
            <w:r>
              <w:rPr>
                <w:b w:val="0"/>
                <w:i w:val="0"/>
                <w:color w:val="FFFFFF"/>
                <w:sz w:val="16"/>
              </w:rPr>
              <w:t>—</w:t>
            </w:r>
          </w:p>
        </w:tc>
        <w:tc>
          <w:tcPr>
            <w:tcW w:type="dxa" w:w="1662"/>
          </w:tcPr>
          <w:p>
            <w:pPr>
              <w:spacing w:after="0"/>
            </w:pPr>
            <w:r/>
            <w:r>
              <w:rPr>
                <w:b w:val="0"/>
                <w:i w:val="0"/>
                <w:color w:val="FFFFFF"/>
                <w:sz w:val="16"/>
              </w:rPr>
              <w:t>—</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All entities</w:t>
            </w:r>
          </w:p>
        </w:tc>
        <w:tc>
          <w:tcPr>
            <w:tcW w:type="dxa" w:w="1662"/>
            <w:shd w:fill="C00000" w:val="clear"/>
          </w:tcPr>
          <w:p>
            <w:pPr>
              <w:spacing w:after="0"/>
            </w:pPr>
            <w:r/>
            <w:r>
              <w:rPr>
                <w:b/>
                <w:i w:val="0"/>
                <w:color w:val="FFFFFF"/>
                <w:sz w:val="16"/>
              </w:rPr>
              <w:t>ABSENT</w:t>
            </w:r>
          </w:p>
        </w:tc>
      </w:tr>
      <w:tr>
        <w:tc>
          <w:tcPr>
            <w:tcW w:type="dxa" w:w="1662"/>
            <w:shd w:fill="C00000" w:val="clear"/>
          </w:tcPr>
          <w:p>
            <w:pPr>
              <w:spacing w:after="0"/>
            </w:pPr>
            <w:r/>
            <w:r>
              <w:rPr>
                <w:b/>
                <w:i w:val="0"/>
                <w:color w:val="FFFFFF"/>
                <w:sz w:val="16"/>
              </w:rPr>
              <w:t>MISSING: Islamic Finance</w:t>
            </w:r>
          </w:p>
        </w:tc>
        <w:tc>
          <w:tcPr>
            <w:tcW w:type="dxa" w:w="1662"/>
          </w:tcPr>
          <w:p>
            <w:pPr>
              <w:spacing w:after="0"/>
            </w:pPr>
            <w:r/>
            <w:r>
              <w:rPr>
                <w:b w:val="0"/>
                <w:i w:val="0"/>
                <w:color w:val="FFFFFF"/>
                <w:sz w:val="16"/>
              </w:rPr>
              <w:t>—</w:t>
            </w:r>
          </w:p>
        </w:tc>
        <w:tc>
          <w:tcPr>
            <w:tcW w:type="dxa" w:w="1662"/>
          </w:tcPr>
          <w:p>
            <w:pPr>
              <w:spacing w:after="0"/>
            </w:pPr>
            <w:r/>
            <w:r>
              <w:rPr>
                <w:b w:val="0"/>
                <w:i w:val="0"/>
                <w:color w:val="FFFFFF"/>
                <w:sz w:val="16"/>
              </w:rPr>
              <w:t>—</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All entities</w:t>
            </w:r>
          </w:p>
        </w:tc>
        <w:tc>
          <w:tcPr>
            <w:tcW w:type="dxa" w:w="1662"/>
            <w:shd w:fill="C00000" w:val="clear"/>
          </w:tcPr>
          <w:p>
            <w:pPr>
              <w:spacing w:after="0"/>
            </w:pPr>
            <w:r/>
            <w:r>
              <w:rPr>
                <w:b/>
                <w:i w:val="0"/>
                <w:color w:val="FFFFFF"/>
                <w:sz w:val="16"/>
              </w:rPr>
              <w:t>ABSENT</w:t>
            </w:r>
          </w:p>
        </w:tc>
      </w:tr>
      <w:tr>
        <w:tc>
          <w:tcPr>
            <w:tcW w:type="dxa" w:w="1662"/>
            <w:shd w:fill="C00000" w:val="clear"/>
          </w:tcPr>
          <w:p>
            <w:pPr>
              <w:spacing w:after="0"/>
            </w:pPr>
            <w:r/>
            <w:r>
              <w:rPr>
                <w:b/>
                <w:i w:val="0"/>
                <w:color w:val="FFFFFF"/>
                <w:sz w:val="16"/>
              </w:rPr>
              <w:t>MISSING: Treasury / ALM</w:t>
            </w:r>
          </w:p>
        </w:tc>
        <w:tc>
          <w:tcPr>
            <w:tcW w:type="dxa" w:w="1662"/>
          </w:tcPr>
          <w:p>
            <w:pPr>
              <w:spacing w:after="0"/>
            </w:pPr>
            <w:r/>
            <w:r>
              <w:rPr>
                <w:b w:val="0"/>
                <w:i w:val="0"/>
                <w:color w:val="FFFFFF"/>
                <w:sz w:val="16"/>
              </w:rPr>
              <w:t>—</w:t>
            </w:r>
          </w:p>
        </w:tc>
        <w:tc>
          <w:tcPr>
            <w:tcW w:type="dxa" w:w="1662"/>
          </w:tcPr>
          <w:p>
            <w:pPr>
              <w:spacing w:after="0"/>
            </w:pPr>
            <w:r/>
            <w:r>
              <w:rPr>
                <w:b w:val="0"/>
                <w:i w:val="0"/>
                <w:color w:val="FFFFFF"/>
                <w:sz w:val="16"/>
              </w:rPr>
              <w:t>—</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All entities</w:t>
            </w:r>
          </w:p>
        </w:tc>
        <w:tc>
          <w:tcPr>
            <w:tcW w:type="dxa" w:w="1662"/>
            <w:shd w:fill="C00000" w:val="clear"/>
          </w:tcPr>
          <w:p>
            <w:pPr>
              <w:spacing w:after="0"/>
            </w:pPr>
            <w:r/>
            <w:r>
              <w:rPr>
                <w:b/>
                <w:i w:val="0"/>
                <w:color w:val="FFFFFF"/>
                <w:sz w:val="16"/>
              </w:rPr>
              <w:t>ABSENT</w:t>
            </w:r>
          </w:p>
        </w:tc>
      </w:tr>
      <w:tr>
        <w:tc>
          <w:tcPr>
            <w:tcW w:type="dxa" w:w="1662"/>
            <w:shd w:fill="C00000" w:val="clear"/>
          </w:tcPr>
          <w:p>
            <w:pPr>
              <w:spacing w:after="0"/>
            </w:pPr>
            <w:r/>
            <w:r>
              <w:rPr>
                <w:b/>
                <w:i w:val="0"/>
                <w:color w:val="FFFFFF"/>
                <w:sz w:val="16"/>
              </w:rPr>
              <w:t>MISSING: Regulatory Reporting</w:t>
            </w:r>
          </w:p>
        </w:tc>
        <w:tc>
          <w:tcPr>
            <w:tcW w:type="dxa" w:w="1662"/>
          </w:tcPr>
          <w:p>
            <w:pPr>
              <w:spacing w:after="0"/>
            </w:pPr>
            <w:r/>
            <w:r>
              <w:rPr>
                <w:b w:val="0"/>
                <w:i w:val="0"/>
                <w:color w:val="FFFFFF"/>
                <w:sz w:val="16"/>
              </w:rPr>
              <w:t>—</w:t>
            </w:r>
          </w:p>
        </w:tc>
        <w:tc>
          <w:tcPr>
            <w:tcW w:type="dxa" w:w="1662"/>
          </w:tcPr>
          <w:p>
            <w:pPr>
              <w:spacing w:after="0"/>
            </w:pPr>
            <w:r/>
            <w:r>
              <w:rPr>
                <w:b w:val="0"/>
                <w:i w:val="0"/>
                <w:color w:val="FFFFFF"/>
                <w:sz w:val="16"/>
              </w:rPr>
              <w:t>—</w:t>
            </w:r>
          </w:p>
        </w:tc>
        <w:tc>
          <w:tcPr>
            <w:tcW w:type="dxa" w:w="1662"/>
            <w:shd w:fill="FFFFFF" w:val="clear"/>
          </w:tcPr>
          <w:p>
            <w:pPr>
              <w:spacing w:after="0"/>
            </w:pPr>
            <w:r/>
            <w:r>
              <w:rPr>
                <w:b w:val="0"/>
                <w:i w:val="0"/>
                <w:sz w:val="16"/>
              </w:rPr>
              <w:t>0</w:t>
            </w:r>
          </w:p>
        </w:tc>
        <w:tc>
          <w:tcPr>
            <w:tcW w:type="dxa" w:w="1662"/>
          </w:tcPr>
          <w:p>
            <w:pPr>
              <w:spacing w:after="0"/>
            </w:pPr>
            <w:r/>
            <w:r>
              <w:rPr>
                <w:b w:val="0"/>
                <w:i w:val="0"/>
                <w:sz w:val="14"/>
              </w:rPr>
              <w:t>All entities</w:t>
            </w:r>
          </w:p>
        </w:tc>
        <w:tc>
          <w:tcPr>
            <w:tcW w:type="dxa" w:w="1662"/>
            <w:shd w:fill="C00000" w:val="clear"/>
          </w:tcPr>
          <w:p>
            <w:pPr>
              <w:spacing w:after="0"/>
            </w:pPr>
            <w:r/>
            <w:r>
              <w:rPr>
                <w:b/>
                <w:i w:val="0"/>
                <w:color w:val="FFFFFF"/>
                <w:sz w:val="16"/>
              </w:rPr>
              <w:t>ABSENT</w:t>
            </w:r>
          </w:p>
        </w:tc>
      </w:tr>
    </w:tbl>
    <w:p/>
    <w:p>
      <w:pPr>
        <w:jc w:val="center"/>
      </w:pPr>
      <w:r>
        <w:rPr>
          <w:i/>
          <w:color w:val="707070"/>
          <w:sz w:val="16"/>
        </w:rPr>
        <w:t>Report prepared: 14 April 2026 | RAKBANK Enterprise Data Platform — Silver Layer Review | Internal — Restricted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