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40"/>
        <w:jc w:val="center"/>
        <w:rPr>
          <w:rFonts w:ascii="Times New Romen" w:hAnsi="Times New Romen"/>
          <w:sz w:val="32"/>
          <w:szCs w:val="32"/>
        </w:rPr>
      </w:pPr>
      <w:r>
        <w:rPr>
          <w:rFonts w:ascii="Times New Romen" w:hAnsi="Times New Romen"/>
          <w:b/>
          <w:sz w:val="32"/>
          <w:szCs w:val="32"/>
        </w:rPr>
        <w:t>APPENDIX I</w:t>
      </w:r>
    </w:p>
    <w:p>
      <w:pPr>
        <w:pStyle w:val="Normal"/>
        <w:spacing w:lineRule="auto" w:line="276" w:before="0" w:after="280"/>
        <w:jc w:val="center"/>
        <w:rPr>
          <w:rFonts w:ascii="Times New Romen" w:hAnsi="Times New Romen"/>
          <w:sz w:val="32"/>
          <w:szCs w:val="32"/>
        </w:rPr>
      </w:pPr>
      <w:r>
        <w:rPr>
          <w:rFonts w:ascii="Times New Romen" w:hAnsi="Times New Romen"/>
          <w:b/>
          <w:sz w:val="32"/>
          <w:szCs w:val="32"/>
        </w:rPr>
        <w:t>DATASET FEATURE DESCRIPTION</w:t>
      </w:r>
    </w:p>
    <w:p>
      <w:pPr>
        <w:pStyle w:val="Normal"/>
        <w:spacing w:lineRule="auto" w:line="276" w:before="0" w:after="280"/>
        <w:jc w:val="both"/>
        <w:rPr>
          <w:rFonts w:ascii="Times New Romen" w:hAnsi="Times New Romen"/>
          <w:sz w:val="24"/>
          <w:szCs w:val="24"/>
        </w:rPr>
      </w:pPr>
      <w:r>
        <w:rPr>
          <w:rFonts w:ascii="Times New Romen" w:hAnsi="Times New Romen"/>
          <w:sz w:val="24"/>
          <w:szCs w:val="24"/>
        </w:rPr>
        <w:t>The following table presents information about every feature used in the FruitSense dataset by showing its data type and value range together with a short explanation of how it contributes to fruit quality classification and freshness scoring. The dataset merges two publicly available sources: the Fruits-360 dataset (fresh specimens) and the Rotten Fruits dataset (Kaggle), producing a six-class annotated corpus of 11,949 images. In addition to raw image pixels, the inference pipeline extracts CIE L*a*b* colorimetric features from each image to support the four-factor freshness scoring engine.</w:t>
      </w:r>
    </w:p>
    <w:p>
      <w:pPr>
        <w:pStyle w:val="Normal"/>
        <w:spacing w:lineRule="auto" w:line="276"/>
        <w:rPr>
          <w:rFonts w:ascii="Times New Romen" w:hAnsi="Times New Romen"/>
          <w:sz w:val="24"/>
          <w:szCs w:val="24"/>
        </w:rPr>
      </w:pPr>
      <w:r>
        <w:rPr>
          <w:rFonts w:ascii="Times New Romen" w:hAnsi="Times New Romen"/>
          <w:sz w:val="24"/>
          <w:szCs w:val="24"/>
        </w:rPr>
      </w:r>
    </w:p>
    <w:tbl>
      <w:tblPr>
        <w:tblStyle w:val="TableGrid"/>
        <w:tblW w:w="90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50"/>
        <w:gridCol w:w="2250"/>
        <w:gridCol w:w="2250"/>
        <w:gridCol w:w="2250"/>
      </w:tblGrid>
      <w:tr>
        <w:trPr/>
        <w:tc>
          <w:tcPr>
            <w:tcW w:w="2250" w:type="dxa"/>
            <w:tcBorders/>
            <w:shd w:color="auto" w:fill="1B3A6B" w:val="clear"/>
            <w:vAlign w:val="center"/>
          </w:tcPr>
          <w:p>
            <w:pPr>
              <w:pStyle w:val="Normal"/>
              <w:widowControl/>
              <w:spacing w:lineRule="auto" w:line="276" w:before="60" w:after="6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color w:val="FFFFFF"/>
                <w:kern w:val="0"/>
                <w:sz w:val="24"/>
                <w:szCs w:val="24"/>
                <w:lang w:val="en-US" w:eastAsia="en-US" w:bidi="ar-SA"/>
              </w:rPr>
              <w:t>Feature Name</w:t>
            </w:r>
          </w:p>
        </w:tc>
        <w:tc>
          <w:tcPr>
            <w:tcW w:w="2250" w:type="dxa"/>
            <w:tcBorders/>
            <w:shd w:color="auto" w:fill="1B3A6B" w:val="clear"/>
            <w:vAlign w:val="center"/>
          </w:tcPr>
          <w:p>
            <w:pPr>
              <w:pStyle w:val="Normal"/>
              <w:widowControl/>
              <w:spacing w:lineRule="auto" w:line="276" w:before="60" w:after="6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color w:val="FFFFFF"/>
                <w:kern w:val="0"/>
                <w:sz w:val="24"/>
                <w:szCs w:val="24"/>
                <w:lang w:val="en-US" w:eastAsia="en-US" w:bidi="ar-SA"/>
              </w:rPr>
              <w:t>Data Type</w:t>
            </w:r>
          </w:p>
        </w:tc>
        <w:tc>
          <w:tcPr>
            <w:tcW w:w="2250" w:type="dxa"/>
            <w:tcBorders/>
            <w:shd w:color="auto" w:fill="1B3A6B" w:val="clear"/>
            <w:vAlign w:val="center"/>
          </w:tcPr>
          <w:p>
            <w:pPr>
              <w:pStyle w:val="Normal"/>
              <w:widowControl/>
              <w:spacing w:lineRule="auto" w:line="276" w:before="60" w:after="6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color w:val="FFFFFF"/>
                <w:kern w:val="0"/>
                <w:sz w:val="24"/>
                <w:szCs w:val="24"/>
                <w:lang w:val="en-US" w:eastAsia="en-US" w:bidi="ar-SA"/>
              </w:rPr>
              <w:t>Range</w:t>
            </w:r>
          </w:p>
        </w:tc>
        <w:tc>
          <w:tcPr>
            <w:tcW w:w="2250" w:type="dxa"/>
            <w:tcBorders/>
            <w:shd w:color="auto" w:fill="1B3A6B" w:val="clear"/>
            <w:vAlign w:val="center"/>
          </w:tcPr>
          <w:p>
            <w:pPr>
              <w:pStyle w:val="Normal"/>
              <w:widowControl/>
              <w:spacing w:lineRule="auto" w:line="276" w:before="60" w:after="6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color w:val="FFFFFF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image_path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Absolute file-system path to the source image (JPG / PNG / JPEG)</w:t>
            </w:r>
          </w:p>
        </w:tc>
      </w:tr>
      <w:tr>
        <w:trPr/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class_label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Categorical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6 classes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Ground-truth class: Apple, Apple_Rotten, Banana, Banana_Rotten, Orange, or Orange_Rotten</w:t>
            </w:r>
          </w:p>
        </w:tc>
      </w:tr>
      <w:tr>
        <w:trPr/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split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Categorical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train / val / test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Dataset partition to which the image belongs (stratified 70/15/15 split)</w:t>
            </w:r>
          </w:p>
        </w:tc>
      </w:tr>
      <w:tr>
        <w:trPr/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image_width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100 – 640 px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Original width of the source image before resizing to 224×224</w:t>
            </w:r>
          </w:p>
        </w:tc>
      </w:tr>
      <w:tr>
        <w:trPr/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image_height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100 – 480 px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Original height of the source image before resizing to 224×224</w:t>
            </w:r>
          </w:p>
        </w:tc>
      </w:tr>
      <w:tr>
        <w:trPr/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class_weight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1.0 – 12.0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Per-class loss weight (w = N_total / (C × N_c)) used during training to compensate for fresh/rotten class imbalance</w:t>
            </w:r>
          </w:p>
        </w:tc>
      </w:tr>
      <w:tr>
        <w:trPr/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mean_L_star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0.0 – 100.0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CIE L* mean lightness of the image; decreases as decay darkens tissue (contributes 0–35 pts to freshness score)</w:t>
            </w:r>
          </w:p>
        </w:tc>
      </w:tr>
      <w:tr>
        <w:trPr/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mean_a_star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-128.0 – 127.0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CIE a* chromaticity (green–red axis); positive values indicate red pigmentation typical of fresh apples</w:t>
            </w:r>
          </w:p>
        </w:tc>
      </w:tr>
      <w:tr>
        <w:trPr/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mean_b_star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-128.0 – 127.0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CIE b* chromaticity (blue–yellow axis); healthy carotenoid pigments produce high positive b*; Maillard browning destroys it (contributes 0–25 pts to freshness score)</w:t>
            </w:r>
          </w:p>
        </w:tc>
      </w:tr>
      <w:tr>
        <w:trPr/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chroma_C_star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0.0 – 180.0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Chroma C* = √(a*² + b*²); measures overall colour saturation; diminishes as pigments degrade during senescence (contributes 0–30 pts to freshness score)</w:t>
            </w:r>
          </w:p>
        </w:tc>
      </w:tr>
      <w:tr>
        <w:trPr/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hue_angle_H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0.0 – 360.0°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Hue angle H° = arctan2(b*, a*); shifts toward 40–65° (brown zone) as Maillard browning accumulates; used in hue decay penalty P_H</w:t>
            </w:r>
          </w:p>
        </w:tc>
      </w:tr>
      <w:tr>
        <w:trPr/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hue_decay_penalty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0.0 – 10.0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P_H penalty term; fires only when H° is in the brown zone AND chroma C* is low (&lt; 30), preventing false penalisation of vibrant orange fruit</w:t>
            </w:r>
          </w:p>
        </w:tc>
      </w:tr>
      <w:tr>
        <w:trPr/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freshness_score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0.0 – 100.0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Composite freshness index: S = S_L + S_C + S_b − P_H; ≥ 60 → Fresh, 40–59 → Marginal, &lt; 40 → Rotten/Discard</w:t>
            </w:r>
          </w:p>
        </w:tc>
      </w:tr>
      <w:tr>
        <w:trPr/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decay_percentage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0.0 – 100.0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Decay percentage = 100 − freshness_score; direct inverse of the freshness score representing extent of deterioration</w:t>
            </w:r>
          </w:p>
        </w:tc>
      </w:tr>
      <w:tr>
        <w:trPr/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predicted_class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Categorical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6 classes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MobileNetV2 classifier output (softmax argmax); one of the six fresh/rotten fruit classes</w:t>
            </w:r>
          </w:p>
        </w:tc>
      </w:tr>
      <w:tr>
        <w:trPr/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confidence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0.0 – 1.0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Softmax probability of the predicted class; mean value 0.9559 across the 1,161-image test set</w:t>
            </w:r>
          </w:p>
        </w:tc>
      </w:tr>
      <w:tr>
        <w:trPr/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is_fresh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Binary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0 or 1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Freshness flag: 1 = Fresh (predicted class does not contain '_Rotten'), 0 = Rotten; derived from predicted_class label</w:t>
            </w:r>
          </w:p>
        </w:tc>
      </w:tr>
      <w:tr>
        <w:trPr/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shelf_life_days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0 – 5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Estimated days of remaining edible life: 5 (score ≥ 60), 1 (40 ≤ score &lt; 60), 0 (score &lt; 40)</w:t>
            </w:r>
          </w:p>
        </w:tc>
      </w:tr>
      <w:tr>
        <w:trPr/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weight_loss_pct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0.000 – 1.000</w:t>
            </w:r>
          </w:p>
        </w:tc>
        <w:tc>
          <w:tcPr>
            <w:tcW w:w="2250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Predicted weight-loss fraction from SE-CNN regressor; proxy for desiccation and cellular moisture loss</w:t>
            </w:r>
          </w:p>
        </w:tc>
      </w:tr>
      <w:tr>
        <w:trPr/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start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b/>
                <w:kern w:val="0"/>
                <w:sz w:val="24"/>
                <w:szCs w:val="24"/>
                <w:lang w:val="en-US" w:eastAsia="en-US" w:bidi="ar-SA"/>
              </w:rPr>
              <w:t>hardness_N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0.0 – 50.0 N</w:t>
            </w:r>
          </w:p>
        </w:tc>
        <w:tc>
          <w:tcPr>
            <w:tcW w:w="2250" w:type="dxa"/>
            <w:tcBorders/>
            <w:shd w:color="auto" w:fill="F2F4FB" w:val="clear"/>
            <w:vAlign w:val="center"/>
          </w:tcPr>
          <w:p>
            <w:pPr>
              <w:pStyle w:val="Normal"/>
              <w:widowControl/>
              <w:spacing w:lineRule="auto" w:line="276" w:before="40" w:after="40"/>
              <w:jc w:val="both"/>
              <w:rPr>
                <w:rFonts w:ascii="Times New Romen" w:hAnsi="Times New Romen"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Times New Romen" w:hAnsi="Times New Romen"/>
                <w:kern w:val="0"/>
                <w:sz w:val="24"/>
                <w:szCs w:val="24"/>
                <w:lang w:val="en-US" w:eastAsia="en-US" w:bidi="ar-SA"/>
              </w:rPr>
              <w:t>Predicted mechanical hardness (Newtons) from SE-CNN regressor; fresh fruit exhibits higher hardness values than decayed specimens</w:t>
            </w:r>
          </w:p>
        </w:tc>
      </w:tr>
    </w:tbl>
    <w:p>
      <w:pPr>
        <w:pStyle w:val="Normal"/>
        <w:spacing w:lineRule="auto" w:line="276"/>
        <w:rPr>
          <w:rFonts w:ascii="Times New Romen" w:hAnsi="Times New Romen"/>
          <w:sz w:val="24"/>
          <w:szCs w:val="24"/>
        </w:rPr>
      </w:pPr>
      <w:r>
        <w:rPr>
          <w:rFonts w:ascii="Times New Romen" w:hAnsi="Times New Romen"/>
          <w:sz w:val="24"/>
          <w:szCs w:val="24"/>
        </w:rPr>
      </w:r>
    </w:p>
    <w:p>
      <w:pPr>
        <w:pStyle w:val="Normal"/>
        <w:spacing w:lineRule="auto" w:line="276" w:before="0" w:after="200"/>
        <w:jc w:val="center"/>
        <w:rPr>
          <w:rFonts w:ascii="Times New Romen" w:hAnsi="Times New Romen"/>
          <w:sz w:val="24"/>
          <w:szCs w:val="24"/>
        </w:rPr>
      </w:pPr>
      <w:r>
        <w:rPr>
          <w:rFonts w:ascii="Times New Romen" w:hAnsi="Times New Romen"/>
          <w:b/>
          <w:sz w:val="24"/>
          <w:szCs w:val="24"/>
        </w:rPr>
        <w:t>Table A.1: FruitSense Dataset Feature Descriptions</w:t>
      </w:r>
    </w:p>
    <w:sectPr>
      <w:type w:val="nextPage"/>
      <w:pgSz w:w="12240" w:h="15840"/>
      <w:pgMar w:left="180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e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LibreOffice/25.8.6.2$Linux_X86_64 LibreOffice_project/580$Build-2</Application>
  <AppVersion>15.0000</AppVersion>
  <Pages>6</Pages>
  <Words>525</Words>
  <Characters>2966</Characters>
  <CharactersWithSpaces>3408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2026-04-29T19:43:10Z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