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FruitSense: AI-Powered Fruit Quality Analysis System</w:t>
      </w:r>
    </w:p>
    <w:p/>
    <w:p>
      <w:pPr>
        <w:jc w:val="center"/>
      </w:pPr>
      <w:r>
        <w:rPr>
          <w:b/>
          <w:sz w:val="28"/>
        </w:rPr>
        <w:t>A PROJECT REPORT</w:t>
      </w:r>
    </w:p>
    <w:p/>
    <w:p>
      <w:pPr>
        <w:jc w:val="center"/>
      </w:pPr>
      <w:r>
        <w:t>Submitted by</w:t>
      </w:r>
    </w:p>
    <w:p>
      <w:pPr>
        <w:jc w:val="center"/>
      </w:pPr>
      <w:r>
        <w:rPr>
          <w:b/>
        </w:rPr>
        <w:t>Gautam  [Reg No: RA2110260400XXX]</w:t>
      </w:r>
    </w:p>
    <w:p>
      <w:pPr>
        <w:jc w:val="center"/>
      </w:pPr>
      <w:r>
        <w:rPr>
          <w:b/>
        </w:rPr>
        <w:t>Student 2  [Reg No: RA2110260400YYY]</w:t>
      </w:r>
    </w:p>
    <w:p>
      <w:pPr>
        <w:jc w:val="center"/>
      </w:pPr>
      <w:r>
        <w:rPr>
          <w:b/>
        </w:rPr>
        <w:t>Student 3  [Reg No: RA2110260400ZZZ]</w:t>
      </w:r>
    </w:p>
    <w:p/>
    <w:p>
      <w:pPr>
        <w:jc w:val="center"/>
      </w:pPr>
      <w:r>
        <w:t>Under the guidance of</w:t>
      </w:r>
    </w:p>
    <w:p>
      <w:pPr>
        <w:jc w:val="center"/>
      </w:pPr>
      <w:r>
        <w:rPr>
          <w:b/>
        </w:rPr>
        <w:t>Dr. [Guide Name]</w:t>
      </w:r>
    </w:p>
    <w:p>
      <w:pPr>
        <w:jc w:val="center"/>
      </w:pPr>
      <w:r>
        <w:t>Assistant Professor, Department of CSE</w:t>
      </w:r>
    </w:p>
    <w:p/>
    <w:p>
      <w:pPr>
        <w:jc w:val="center"/>
      </w:pPr>
      <w:r>
        <w:t>in partial fulfillment for the award of the degree of</w:t>
      </w:r>
    </w:p>
    <w:p>
      <w:pPr>
        <w:jc w:val="center"/>
      </w:pPr>
      <w:r>
        <w:rPr>
          <w:b/>
        </w:rPr>
        <w:t>BACHELOR OF TECHNOLOGY</w:t>
      </w:r>
    </w:p>
    <w:p>
      <w:pPr>
        <w:jc w:val="center"/>
      </w:pPr>
      <w:r>
        <w:rPr>
          <w:b/>
        </w:rPr>
        <w:t>in</w:t>
        <w:br/>
        <w:t>COMPUTER SCIENCE AND ENGINEERING</w:t>
      </w:r>
    </w:p>
    <w:p/>
    <w:p>
      <w:pPr>
        <w:jc w:val="center"/>
      </w:pPr>
      <w:r>
        <w:rPr>
          <w:b/>
        </w:rPr>
        <w:t>FACULTY OF ENGINEERING AND TECHNOLOGY</w:t>
      </w:r>
    </w:p>
    <w:p/>
    <w:p>
      <w:pPr>
        <w:jc w:val="center"/>
      </w:pPr>
      <w:r>
        <w:t>DEPARTMENT OF COMPUTER SCIENCE &amp; ENGINEERING</w:t>
      </w:r>
    </w:p>
    <w:p>
      <w:pPr>
        <w:jc w:val="center"/>
      </w:pPr>
      <w:r>
        <w:t>SRM INSTITUTE OF SCIENCE AND TECHNOLOGY</w:t>
      </w:r>
    </w:p>
    <w:p>
      <w:pPr>
        <w:jc w:val="center"/>
      </w:pPr>
      <w:r>
        <w:t>VADAPALANI CAMPUS</w:t>
      </w:r>
    </w:p>
    <w:p>
      <w:pPr>
        <w:jc w:val="center"/>
      </w:pPr>
      <w:r>
        <w:t>MAY 2026</w:t>
      </w:r>
    </w:p>
    <w:p>
      <w:r>
        <w:br w:type="page"/>
      </w:r>
    </w:p>
    <w:p>
      <w:pPr>
        <w:pStyle w:val="Heading3"/>
        <w:jc w:val="center"/>
      </w:pPr>
      <w:r>
        <w:t>BONAFIDE CERTIFICATE</w:t>
      </w:r>
    </w:p>
    <w:p>
      <w:pPr>
        <w:pStyle w:val="BodyText"/>
      </w:pPr>
      <w:r>
        <w:t>Certified that 21CSP401L project report titled "FruitSense: AI-Powered Fruit Quality Analysis System" is the bonafide work of "Gautam [Reg No: RA2110260400XXX] and Student 2 [Reg No: RA2110260400YYY] and Student 3 [Reg No: RA2110260400ZZZ]",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student.</w:t>
      </w:r>
    </w:p>
    <w:p/>
    <w:p>
      <w:pPr>
        <w:pStyle w:val="BodyText"/>
      </w:pPr>
      <w:r>
        <w:t>GUIDE</w:t>
        <w:br/>
        <w:t>Dr. [Guide Name]</w:t>
        <w:br/>
        <w:t>Assistant Professor, Department of CSE</w:t>
        <w:br/>
        <w:t>Dept. of CSE</w:t>
      </w:r>
    </w:p>
    <w:p/>
    <w:p>
      <w:pPr>
        <w:pStyle w:val="BodyText"/>
      </w:pPr>
      <w:r>
        <w:t>HEAD OF THE DEPARTMENT</w:t>
        <w:br/>
        <w:t>Dr. Golda Dilip</w:t>
        <w:br/>
        <w:t>Professor</w:t>
        <w:br/>
        <w:t>Dept. of CSE</w:t>
      </w:r>
    </w:p>
    <w:p/>
    <w:p>
      <w:pPr>
        <w:pStyle w:val="BodyText"/>
      </w:pPr>
      <w:r>
        <w:t>EXTERNAL EXAMINER</w:t>
        <w:br/>
        <w:br/>
        <w:t>Department of CSE</w:t>
      </w:r>
    </w:p>
    <w:p>
      <w:r>
        <w:br w:type="page"/>
      </w:r>
    </w:p>
    <w:p>
      <w:pPr>
        <w:pStyle w:val="Heading3"/>
        <w:jc w:val="center"/>
      </w:pPr>
      <w:r>
        <w:t>ABSTRACT</w:t>
      </w:r>
    </w:p>
    <w:p>
      <w:pPr>
        <w:pStyle w:val="BodyText"/>
      </w:pPr>
      <w:r>
        <w:t>FruitSense is an AI-powered fruit quality analysis system that leverages deep learning to classify fruit type and detect decay from a single photograph. The system employs a MobileNetV2-based transfer learning architecture trained on a merged dataset of over 11,000 images spanning six classes: Apple, Apple_Rotten, Banana, Banana_Rotten, Orange, and Orange_Rotten. A dual-pipeline backend combines the CNN classifier with a colorimetric scoring engine (CIE L*a*b*) and a secondary SE-CNN regression model to produce a continuous freshness score and estimated shelf-life. The system is deployed as a FastAPI REST service backed by a React + Vite frontend, making it accessible via standard web browsers and mobile devices. In in-distribution (clean lab) evaluation, the classifier achieved an overall accuracy of 97.67% with a macro F1-score of 97.75%, demonstrating strong generalisation across fruit types and freshness states.</w:t>
      </w:r>
    </w:p>
    <w:p>
      <w:r>
        <w:br w:type="page"/>
      </w:r>
    </w:p>
    <w:p>
      <w:pPr>
        <w:pStyle w:val="Heading3"/>
        <w:jc w:val="center"/>
      </w:pPr>
      <w:r>
        <w:t>TABLE OF CONTENTS</w:t>
      </w:r>
    </w:p>
    <w:tbl>
      <w:tblPr>
        <w:tblStyle w:val="TableGrid"/>
        <w:tblW w:type="auto" w:w="0"/>
        <w:tblLook w:firstColumn="1" w:firstRow="1" w:lastColumn="0" w:lastRow="0" w:noHBand="0" w:noVBand="1" w:val="04A0"/>
      </w:tblPr>
      <w:tblGrid>
        <w:gridCol w:w="4500"/>
        <w:gridCol w:w="4500"/>
      </w:tblGrid>
      <w:tr>
        <w:tc>
          <w:tcPr>
            <w:tcW w:type="dxa" w:w="4500"/>
          </w:tcPr>
          <w:p>
            <w:r>
              <w:t>ACKNOWLEDGEMENTS</w:t>
            </w:r>
          </w:p>
        </w:tc>
        <w:tc>
          <w:tcPr>
            <w:tcW w:type="dxa" w:w="4500"/>
          </w:tcPr>
          <w:p>
            <w:pPr>
              <w:jc w:val="right"/>
            </w:pPr>
            <w:r>
              <w:t>iv</w:t>
            </w:r>
          </w:p>
        </w:tc>
      </w:tr>
      <w:tr>
        <w:tc>
          <w:tcPr>
            <w:tcW w:type="dxa" w:w="4500"/>
          </w:tcPr>
          <w:p>
            <w:r>
              <w:t>ABSTRACT</w:t>
            </w:r>
          </w:p>
        </w:tc>
        <w:tc>
          <w:tcPr>
            <w:tcW w:type="dxa" w:w="4500"/>
          </w:tcPr>
          <w:p>
            <w:pPr>
              <w:jc w:val="right"/>
            </w:pPr>
            <w:r>
              <w:t>v</w:t>
            </w:r>
          </w:p>
        </w:tc>
      </w:tr>
      <w:tr>
        <w:tc>
          <w:tcPr>
            <w:tcW w:type="dxa" w:w="4500"/>
          </w:tcPr>
          <w:p>
            <w:r>
              <w:t>LIST OF TABLES</w:t>
            </w:r>
          </w:p>
        </w:tc>
        <w:tc>
          <w:tcPr>
            <w:tcW w:type="dxa" w:w="4500"/>
          </w:tcPr>
          <w:p>
            <w:pPr>
              <w:jc w:val="right"/>
            </w:pPr>
            <w:r>
              <w:t>viii</w:t>
            </w:r>
          </w:p>
        </w:tc>
      </w:tr>
      <w:tr>
        <w:tc>
          <w:tcPr>
            <w:tcW w:type="dxa" w:w="4500"/>
          </w:tcPr>
          <w:p>
            <w:r>
              <w:t>LIST OF FIGURES</w:t>
            </w:r>
          </w:p>
        </w:tc>
        <w:tc>
          <w:tcPr>
            <w:tcW w:type="dxa" w:w="4500"/>
          </w:tcPr>
          <w:p>
            <w:pPr>
              <w:jc w:val="right"/>
            </w:pPr>
            <w:r>
              <w:t>ix</w:t>
            </w:r>
          </w:p>
        </w:tc>
      </w:tr>
      <w:tr>
        <w:tc>
          <w:tcPr>
            <w:tcW w:type="dxa" w:w="4500"/>
          </w:tcPr>
          <w:p>
            <w:r>
              <w:t>ABBREVIATIONS</w:t>
            </w:r>
          </w:p>
        </w:tc>
        <w:tc>
          <w:tcPr>
            <w:tcW w:type="dxa" w:w="4500"/>
          </w:tcPr>
          <w:p>
            <w:pPr>
              <w:jc w:val="right"/>
            </w:pPr>
            <w:r>
              <w:t>x</w:t>
            </w:r>
          </w:p>
        </w:tc>
      </w:tr>
      <w:tr>
        <w:tc>
          <w:tcPr>
            <w:tcW w:type="dxa" w:w="4500"/>
          </w:tcPr>
          <w:p>
            <w:r>
              <w:t>1  INTRODUCTION</w:t>
            </w:r>
          </w:p>
        </w:tc>
        <w:tc>
          <w:tcPr>
            <w:tcW w:type="dxa" w:w="4500"/>
          </w:tcPr>
          <w:p>
            <w:pPr>
              <w:jc w:val="right"/>
            </w:pPr>
            <w:r>
              <w:t>1</w:t>
            </w:r>
          </w:p>
        </w:tc>
      </w:tr>
      <w:tr>
        <w:tc>
          <w:tcPr>
            <w:tcW w:type="dxa" w:w="4500"/>
          </w:tcPr>
          <w:p>
            <w:r>
              <w:t xml:space="preserve">   1.1  Project Overview</w:t>
            </w:r>
          </w:p>
        </w:tc>
        <w:tc>
          <w:tcPr>
            <w:tcW w:type="dxa" w:w="4500"/>
          </w:tcPr>
          <w:p>
            <w:pPr>
              <w:jc w:val="right"/>
            </w:pPr>
            <w:r>
              <w:t>1</w:t>
            </w:r>
          </w:p>
        </w:tc>
      </w:tr>
      <w:tr>
        <w:tc>
          <w:tcPr>
            <w:tcW w:type="dxa" w:w="4500"/>
          </w:tcPr>
          <w:p>
            <w:r>
              <w:t xml:space="preserve">   1.2  Problem Statement</w:t>
            </w:r>
          </w:p>
        </w:tc>
        <w:tc>
          <w:tcPr>
            <w:tcW w:type="dxa" w:w="4500"/>
          </w:tcPr>
          <w:p>
            <w:pPr>
              <w:jc w:val="right"/>
            </w:pPr>
            <w:r>
              <w:t>2</w:t>
            </w:r>
          </w:p>
        </w:tc>
      </w:tr>
      <w:tr>
        <w:tc>
          <w:tcPr>
            <w:tcW w:type="dxa" w:w="4500"/>
          </w:tcPr>
          <w:p>
            <w:r>
              <w:t xml:space="preserve">   1.3  Objectives</w:t>
            </w:r>
          </w:p>
        </w:tc>
        <w:tc>
          <w:tcPr>
            <w:tcW w:type="dxa" w:w="4500"/>
          </w:tcPr>
          <w:p>
            <w:pPr>
              <w:jc w:val="right"/>
            </w:pPr>
            <w:r>
              <w:t>2</w:t>
            </w:r>
          </w:p>
        </w:tc>
      </w:tr>
      <w:tr>
        <w:tc>
          <w:tcPr>
            <w:tcW w:type="dxa" w:w="4500"/>
          </w:tcPr>
          <w:p>
            <w:r>
              <w:t>2  LITERATURE REVIEW</w:t>
            </w:r>
          </w:p>
        </w:tc>
        <w:tc>
          <w:tcPr>
            <w:tcW w:type="dxa" w:w="4500"/>
          </w:tcPr>
          <w:p>
            <w:pPr>
              <w:jc w:val="right"/>
            </w:pPr>
            <w:r>
              <w:t>3</w:t>
            </w:r>
          </w:p>
        </w:tc>
      </w:tr>
      <w:tr>
        <w:tc>
          <w:tcPr>
            <w:tcW w:type="dxa" w:w="4500"/>
          </w:tcPr>
          <w:p>
            <w:r>
              <w:t xml:space="preserve">   2.1  CNN-based Fruit Classification</w:t>
            </w:r>
          </w:p>
        </w:tc>
        <w:tc>
          <w:tcPr>
            <w:tcW w:type="dxa" w:w="4500"/>
          </w:tcPr>
          <w:p>
            <w:pPr>
              <w:jc w:val="right"/>
            </w:pPr>
            <w:r>
              <w:t>3</w:t>
            </w:r>
          </w:p>
        </w:tc>
      </w:tr>
      <w:tr>
        <w:tc>
          <w:tcPr>
            <w:tcW w:type="dxa" w:w="4500"/>
          </w:tcPr>
          <w:p>
            <w:r>
              <w:t xml:space="preserve">   2.2  Transfer Learning in Agriculture</w:t>
            </w:r>
          </w:p>
        </w:tc>
        <w:tc>
          <w:tcPr>
            <w:tcW w:type="dxa" w:w="4500"/>
          </w:tcPr>
          <w:p>
            <w:pPr>
              <w:jc w:val="right"/>
            </w:pPr>
            <w:r>
              <w:t>4</w:t>
            </w:r>
          </w:p>
        </w:tc>
      </w:tr>
      <w:tr>
        <w:tc>
          <w:tcPr>
            <w:tcW w:type="dxa" w:w="4500"/>
          </w:tcPr>
          <w:p>
            <w:r>
              <w:t>3  SYSTEM ARCHITECTURE AND DESIGN</w:t>
            </w:r>
          </w:p>
        </w:tc>
        <w:tc>
          <w:tcPr>
            <w:tcW w:type="dxa" w:w="4500"/>
          </w:tcPr>
          <w:p>
            <w:pPr>
              <w:jc w:val="right"/>
            </w:pPr>
            <w:r>
              <w:t>5</w:t>
            </w:r>
          </w:p>
        </w:tc>
      </w:tr>
      <w:tr>
        <w:tc>
          <w:tcPr>
            <w:tcW w:type="dxa" w:w="4500"/>
          </w:tcPr>
          <w:p>
            <w:r>
              <w:t xml:space="preserve">   3.1  Overall Pipeline</w:t>
            </w:r>
          </w:p>
        </w:tc>
        <w:tc>
          <w:tcPr>
            <w:tcW w:type="dxa" w:w="4500"/>
          </w:tcPr>
          <w:p>
            <w:pPr>
              <w:jc w:val="right"/>
            </w:pPr>
            <w:r>
              <w:t>5</w:t>
            </w:r>
          </w:p>
        </w:tc>
      </w:tr>
      <w:tr>
        <w:tc>
          <w:tcPr>
            <w:tcW w:type="dxa" w:w="4500"/>
          </w:tcPr>
          <w:p>
            <w:r>
              <w:t xml:space="preserve">   3.2  MobileNetV2 Classifier</w:t>
            </w:r>
          </w:p>
        </w:tc>
        <w:tc>
          <w:tcPr>
            <w:tcW w:type="dxa" w:w="4500"/>
          </w:tcPr>
          <w:p>
            <w:pPr>
              <w:jc w:val="right"/>
            </w:pPr>
            <w:r>
              <w:t>6</w:t>
            </w:r>
          </w:p>
        </w:tc>
      </w:tr>
      <w:tr>
        <w:tc>
          <w:tcPr>
            <w:tcW w:type="dxa" w:w="4500"/>
          </w:tcPr>
          <w:p>
            <w:r>
              <w:t>4  METHODOLOGY</w:t>
            </w:r>
          </w:p>
        </w:tc>
        <w:tc>
          <w:tcPr>
            <w:tcW w:type="dxa" w:w="4500"/>
          </w:tcPr>
          <w:p>
            <w:pPr>
              <w:jc w:val="right"/>
            </w:pPr>
            <w:r>
              <w:t>7</w:t>
            </w:r>
          </w:p>
        </w:tc>
      </w:tr>
      <w:tr>
        <w:tc>
          <w:tcPr>
            <w:tcW w:type="dxa" w:w="4500"/>
          </w:tcPr>
          <w:p>
            <w:r>
              <w:t xml:space="preserve">   4.1  Dataset Preparation</w:t>
            </w:r>
          </w:p>
        </w:tc>
        <w:tc>
          <w:tcPr>
            <w:tcW w:type="dxa" w:w="4500"/>
          </w:tcPr>
          <w:p>
            <w:pPr>
              <w:jc w:val="right"/>
            </w:pPr>
            <w:r>
              <w:t>7</w:t>
            </w:r>
          </w:p>
        </w:tc>
      </w:tr>
      <w:tr>
        <w:tc>
          <w:tcPr>
            <w:tcW w:type="dxa" w:w="4500"/>
          </w:tcPr>
          <w:p>
            <w:r>
              <w:t xml:space="preserve">   4.2  Training Strategy</w:t>
            </w:r>
          </w:p>
        </w:tc>
        <w:tc>
          <w:tcPr>
            <w:tcW w:type="dxa" w:w="4500"/>
          </w:tcPr>
          <w:p>
            <w:pPr>
              <w:jc w:val="right"/>
            </w:pPr>
            <w:r>
              <w:t>8</w:t>
            </w:r>
          </w:p>
        </w:tc>
      </w:tr>
      <w:tr>
        <w:tc>
          <w:tcPr>
            <w:tcW w:type="dxa" w:w="4500"/>
          </w:tcPr>
          <w:p>
            <w:r>
              <w:t>5  CODING AND TESTING</w:t>
            </w:r>
          </w:p>
        </w:tc>
        <w:tc>
          <w:tcPr>
            <w:tcW w:type="dxa" w:w="4500"/>
          </w:tcPr>
          <w:p>
            <w:pPr>
              <w:jc w:val="right"/>
            </w:pPr>
            <w:r>
              <w:t>9</w:t>
            </w:r>
          </w:p>
        </w:tc>
      </w:tr>
      <w:tr>
        <w:tc>
          <w:tcPr>
            <w:tcW w:type="dxa" w:w="4500"/>
          </w:tcPr>
          <w:p>
            <w:r>
              <w:t>6  RESULTS AND OBSERVATIONS</w:t>
            </w:r>
          </w:p>
        </w:tc>
        <w:tc>
          <w:tcPr>
            <w:tcW w:type="dxa" w:w="4500"/>
          </w:tcPr>
          <w:p>
            <w:pPr>
              <w:jc w:val="right"/>
            </w:pPr>
            <w:r>
              <w:t>10</w:t>
            </w:r>
          </w:p>
        </w:tc>
      </w:tr>
      <w:tr>
        <w:tc>
          <w:tcPr>
            <w:tcW w:type="dxa" w:w="4500"/>
          </w:tcPr>
          <w:p>
            <w:r>
              <w:t>7  CONCLUSION</w:t>
            </w:r>
          </w:p>
        </w:tc>
        <w:tc>
          <w:tcPr>
            <w:tcW w:type="dxa" w:w="4500"/>
          </w:tcPr>
          <w:p>
            <w:pPr>
              <w:jc w:val="right"/>
            </w:pPr>
            <w:r>
              <w:t>12</w:t>
            </w:r>
          </w:p>
        </w:tc>
      </w:tr>
      <w:tr>
        <w:tc>
          <w:tcPr>
            <w:tcW w:type="dxa" w:w="4500"/>
          </w:tcPr>
          <w:p>
            <w:r>
              <w:t>REFERENCES</w:t>
            </w:r>
          </w:p>
        </w:tc>
        <w:tc>
          <w:tcPr>
            <w:tcW w:type="dxa" w:w="4500"/>
          </w:tcPr>
          <w:p>
            <w:pPr>
              <w:jc w:val="right"/>
            </w:pPr>
            <w:r>
              <w:t>13</w:t>
            </w:r>
          </w:p>
        </w:tc>
      </w:tr>
    </w:tbl>
    <w:p>
      <w:r>
        <w:br w:type="page"/>
      </w:r>
    </w:p>
    <w:p>
      <w:pPr>
        <w:pStyle w:val="Heading1"/>
      </w:pPr>
      <w:r>
        <w:t>CHAPTER 1</w:t>
      </w:r>
    </w:p>
    <w:p>
      <w:pPr>
        <w:pStyle w:val="Heading3"/>
      </w:pPr>
      <w:r>
        <w:t>INTRODUCTION</w:t>
      </w:r>
    </w:p>
    <w:p>
      <w:pPr>
        <w:pStyle w:val="Heading2"/>
      </w:pPr>
      <w:r>
        <w:t>1.1  Project Overview</w:t>
      </w:r>
    </w:p>
    <w:p>
      <w:pPr>
        <w:pStyle w:val="BodyText"/>
      </w:pPr>
      <w:r>
        <w:t>FruitSense addresses the challenge of automating fruit quality assessment in supply chains and retail environments. Traditional manual inspection is subjective, time-consuming, and error-prone. FruitSense provides an instant, objective quality score derived from image analysis, removing human bias and enabling scalable deployment via a web-based interface.</w:t>
      </w:r>
    </w:p>
    <w:p>
      <w:pPr>
        <w:pStyle w:val="Heading2"/>
      </w:pPr>
      <w:r>
        <w:t>1.2  Problem Statement</w:t>
      </w:r>
    </w:p>
    <w:p>
      <w:pPr>
        <w:pStyle w:val="BodyText"/>
      </w:pPr>
      <w:r>
        <w:t>Fruit spoilage results in significant economic losses globally. Early and accurate detection of decay is critical in cold-chain logistics and point-of-sale operations. Existing solutions either rely on expensive hardware (spectroscopy, gas sensors) or lack the classification granularity to distinguish between fresh and rotten instances of multiple fruit species simultaneously.</w:t>
      </w:r>
    </w:p>
    <w:p>
      <w:pPr>
        <w:pStyle w:val="Heading2"/>
      </w:pPr>
      <w:r>
        <w:t>1.3  Objectives</w:t>
      </w:r>
    </w:p>
    <w:p>
      <w:pPr>
        <w:pStyle w:val="ListParagraph"/>
      </w:pPr>
      <w:r>
        <w:t>Develop a six-class MobileNetV2 classifier for Apple, Banana, and Orange (fresh and rotten).</w:t>
      </w:r>
    </w:p>
    <w:p>
      <w:pPr>
        <w:pStyle w:val="ListParagraph"/>
      </w:pPr>
      <w:r>
        <w:t>Integrate a CIE L*a*b* colorimetric scoring engine for continuous freshness quantification.</w:t>
      </w:r>
    </w:p>
    <w:p>
      <w:pPr>
        <w:pStyle w:val="ListParagraph"/>
      </w:pPr>
      <w:r>
        <w:t>Build a FastAPI REST backend and React frontend for real-time inference.</w:t>
      </w:r>
    </w:p>
    <w:p>
      <w:pPr>
        <w:pStyle w:val="ListParagraph"/>
      </w:pPr>
      <w:r>
        <w:t>Evaluate the classifier rigorously and achieve a production-grade accuracy of 97.67%.</w:t>
      </w:r>
    </w:p>
    <w:p>
      <w:r>
        <w:br w:type="page"/>
      </w:r>
    </w:p>
    <w:p>
      <w:pPr>
        <w:pStyle w:val="Heading1"/>
      </w:pPr>
      <w:r>
        <w:t>CHAPTER 2</w:t>
      </w:r>
    </w:p>
    <w:p>
      <w:pPr>
        <w:pStyle w:val="Heading3"/>
      </w:pPr>
      <w:r>
        <w:t>LITERATURE REVIEW</w:t>
      </w:r>
    </w:p>
    <w:p>
      <w:pPr>
        <w:pStyle w:val="Heading2"/>
      </w:pPr>
      <w:r>
        <w:t>2.1  CNN-based Fruit Classification</w:t>
      </w:r>
    </w:p>
    <w:p>
      <w:pPr>
        <w:pStyle w:val="BodyText"/>
      </w:pPr>
      <w:r>
        <w:t>Convolutional Neural Networks have been extensively applied to agricultural image classification. Mureşan and Oltean (2018) introduced the Fruits-360 dataset and demonstrated accuracy above 99% on clean studio images using a lightweight CNN. However, such results do not generalise to real-world conditions due to lighting variability, occlusion, and background clutter [1].</w:t>
        <w:br/>
        <w:br/>
        <w:t>Kamilaris and Prenafeta-Boldú (2018) surveyed over 40 deep-learning papers applied to plant and crop analysis, concluding that transfer learning consistently outperforms training from scratch when labelled data is limited [2]. This informed the decision to use MobileNetV2 pretrained on ImageNet as the backbone for FruitSense.</w:t>
      </w:r>
    </w:p>
    <w:p>
      <w:pPr>
        <w:pStyle w:val="Heading2"/>
      </w:pPr>
      <w:r>
        <w:t>2.2  Transfer Learning in Agriculture</w:t>
      </w:r>
    </w:p>
    <w:p>
      <w:pPr>
        <w:pStyle w:val="BodyText"/>
      </w:pPr>
      <w:r>
        <w:t>MobileNetV2 (Sandler et al., 2018) employs inverted residuals and linear bottlenecks to achieve competitive accuracy with minimal computational cost, making it ideal for deployment on edge and mobile devices [3]. Several studies have fine-tuned MobileNetV2 on custom food and produce datasets, reporting 90–98% accuracy depending on class complexity and dataset quality.</w:t>
        <w:br/>
        <w:br/>
        <w:t>Compared to ResNet-50 and EfficientNet-B0, MobileNetV2 provides the best accuracy-to-latency tradeoff under CPU-only inference, which is the deployment environment for FruitSense [4].</w:t>
      </w:r>
    </w:p>
    <w:p>
      <w:r>
        <w:br w:type="page"/>
      </w:r>
    </w:p>
    <w:p>
      <w:pPr>
        <w:pStyle w:val="Heading1"/>
      </w:pPr>
      <w:r>
        <w:t>CHAPTER 3</w:t>
      </w:r>
    </w:p>
    <w:p>
      <w:pPr>
        <w:pStyle w:val="Heading3"/>
      </w:pPr>
      <w:r>
        <w:t>SYSTEM ARCHITECTURE AND DESIGN</w:t>
      </w:r>
    </w:p>
    <w:p>
      <w:pPr>
        <w:pStyle w:val="Heading2"/>
      </w:pPr>
      <w:r>
        <w:t>3.1  Overall Pipeline</w:t>
      </w:r>
    </w:p>
    <w:p>
      <w:pPr>
        <w:pStyle w:val="BodyText"/>
      </w:pPr>
      <w:r>
        <w:t>The FruitSense pipeline consists of five stages:</w:t>
        <w:br/>
        <w:t>(1) Image ingestion via multipart POST to /api/analyze</w:t>
        <w:br/>
        <w:t>(2) Colour space conversion (RGB → CIE L*a*b*) and feature extraction</w:t>
        <w:br/>
        <w:t>(3) MobileNetV2 fruit/freshness classification</w:t>
        <w:br/>
        <w:t>(4) Colorimetric freshness scoring with weighted sub-scores</w:t>
        <w:br/>
        <w:t>(5) JSON response construction with class, freshness score, decay %, and shelf-life estimate</w:t>
      </w:r>
    </w:p>
    <w:p>
      <w:pPr>
        <w:pStyle w:val="Heading2"/>
      </w:pPr>
      <w:r>
        <w:t>3.2  MobileNetV2 Classifier</w:t>
      </w:r>
    </w:p>
    <w:p>
      <w:pPr>
        <w:pStyle w:val="BodyText"/>
      </w:pPr>
      <w:r>
        <w:t>The classifier uses a MobileNetV2 backbone (pretrained on ImageNet, input 224×224×3) with a custom head: GlobalAveragePooling2D → BatchNormalization → Dense(512, ReLU) → Dropout(0.4) → Dense(256, ReLU) → Dropout(0.3) → Dense(6, Softmax). Training proceeds in two phases: Phase 1 freezes the base and trains the head for 15 epochs at lr=1e-3; Phase 2 unfreezes the top 30 layers for fine-tuning at lr=1e-4 for 20 epochs with early stopping (patience=7).</w:t>
      </w:r>
    </w:p>
    <w:p>
      <w:r>
        <w:br w:type="page"/>
      </w:r>
    </w:p>
    <w:p>
      <w:pPr>
        <w:pStyle w:val="Heading1"/>
      </w:pPr>
      <w:r>
        <w:t>CHAPTER 4</w:t>
      </w:r>
    </w:p>
    <w:p>
      <w:pPr>
        <w:pStyle w:val="Heading3"/>
      </w:pPr>
      <w:r>
        <w:t>METHODOLOGY</w:t>
      </w:r>
    </w:p>
    <w:p>
      <w:pPr>
        <w:pStyle w:val="Heading2"/>
      </w:pPr>
      <w:r>
        <w:t>4.1  Dataset Preparation</w:t>
      </w:r>
    </w:p>
    <w:p>
      <w:pPr>
        <w:pStyle w:val="BodyText"/>
      </w:pPr>
      <w:r>
        <w:t>The training dataset was assembled by merging two sources: (a) the Fruits-360 dataset providing fresh Apple, Banana, and Orange images (studio background), and (b) a rotten-fruits dataset sourced from Kaggle containing naturally decayed specimens. After merging, class weights were computed inversely proportional to class frequency to address the imbalance between fresh (abundant) and rotten (fewer) samples. The final split: 80% train, 20% validation.</w:t>
      </w:r>
    </w:p>
    <w:p>
      <w:pPr>
        <w:pStyle w:val="Heading2"/>
      </w:pPr>
      <w:r>
        <w:t>4.2  Training Strategy</w:t>
      </w:r>
    </w:p>
    <w:p>
      <w:pPr>
        <w:pStyle w:val="BodyText"/>
      </w:pPr>
      <w:r>
        <w:t>Data augmentation during training included rotation (±30°), width/height shift (±20%), shear (15%), zoom (25%), horizontal flip, brightness variation [0.7–1.3], and channel shift (±10). MobileNetV2's preprocess_input function was applied to normalise inputs to [-1, 1] matching ImageNet pretrained statistics. ModelCheckpoint saved the best validation-accuracy checkpoint, and ReduceLROnPlateau halved the learning rate on plateau (patience=3, min_lr=1e-7).</w:t>
      </w:r>
    </w:p>
    <w:p>
      <w:r>
        <w:br w:type="page"/>
      </w:r>
    </w:p>
    <w:p>
      <w:pPr>
        <w:pStyle w:val="Heading1"/>
      </w:pPr>
      <w:r>
        <w:t>CHAPTER 5</w:t>
      </w:r>
    </w:p>
    <w:p>
      <w:pPr>
        <w:pStyle w:val="Heading3"/>
      </w:pPr>
      <w:r>
        <w:t>CODING AND TESTING</w:t>
      </w:r>
    </w:p>
    <w:p>
      <w:pPr>
        <w:pStyle w:val="Heading2"/>
      </w:pPr>
      <w:r>
        <w:t>5.1  Backend Implementation</w:t>
      </w:r>
    </w:p>
    <w:p>
      <w:pPr>
        <w:pStyle w:val="BodyText"/>
      </w:pPr>
      <w:r>
        <w:t>The backend is implemented in Python using FastAPI with Uvicorn as the ASGI server. The /api/analyze endpoint accepts a multipart image upload, performs preprocessing, runs inference via TensorFlow/Keras, and returns a structured JSON payload containing: fruit_type, is_fresh, freshness_score (0–100), decay_percentage, shelf_life_days, and classifier_confidence.</w:t>
      </w:r>
    </w:p>
    <w:p>
      <w:pPr>
        <w:pStyle w:val="Heading2"/>
      </w:pPr>
      <w:r>
        <w:t>5.2  Frontend Implementation</w:t>
      </w:r>
    </w:p>
    <w:p>
      <w:pPr>
        <w:pStyle w:val="BodyText"/>
      </w:pPr>
      <w:r>
        <w:t>The frontend is built with React 18 and Vite, communicating with the backend over HTTP. Users drag-and-drop or select a fruit image; the UI displays a freshness gauge, quality badge, decay timeline, and per-class probability breakdown. Responsive design ensures usability on both desktop and mobile.</w:t>
      </w:r>
    </w:p>
    <w:p>
      <w:r>
        <w:br w:type="page"/>
      </w:r>
    </w:p>
    <w:p>
      <w:pPr>
        <w:pStyle w:val="Heading1"/>
      </w:pPr>
      <w:r>
        <w:t>CHAPTER 6</w:t>
      </w:r>
    </w:p>
    <w:p>
      <w:pPr>
        <w:pStyle w:val="Heading3"/>
      </w:pPr>
      <w:r>
        <w:t>RESULTS AND OBSERVATIONS</w:t>
      </w:r>
    </w:p>
    <w:p>
      <w:pPr>
        <w:pStyle w:val="BodyText"/>
      </w:pPr>
      <w:r>
        <w:t>The model was evaluated on 1,161 held-out test images from the prepared Fruits-360 dataset split, covering all six classes under controlled, lab-quality imaging conditions.</w:t>
      </w:r>
    </w:p>
    <w:p/>
    <w:p>
      <w:pPr>
        <w:pStyle w:val="BodyText"/>
        <w:jc w:val="center"/>
      </w:pPr>
      <w:r>
        <w:rPr>
          <w:b/>
          <w:sz w:val="22"/>
        </w:rPr>
        <w:t>Table 6.1: Overall Model Performance — In-Distribution (Clean Lab) Evaluation</w:t>
      </w:r>
    </w:p>
    <w:tbl>
      <w:tblPr>
        <w:tblStyle w:val="TableGrid"/>
        <w:tblW w:type="auto" w:w="0"/>
        <w:jc w:val="center"/>
        <w:tblLook w:firstColumn="1" w:firstRow="1" w:lastColumn="0" w:lastRow="0" w:noHBand="0" w:noVBand="1" w:val="04A0"/>
      </w:tblPr>
      <w:tblGrid>
        <w:gridCol w:w="4500"/>
        <w:gridCol w:w="4500"/>
      </w:tblGrid>
      <w:tr>
        <w:tc>
          <w:tcPr>
            <w:tcW w:type="dxa" w:w="4500"/>
            <w:shd w:val="clear" w:color="auto" w:fill="1B3A6B"/>
          </w:tcPr>
          <w:p>
            <w:pPr>
              <w:jc w:val="center"/>
            </w:pPr>
            <w:r>
              <w:rPr>
                <w:b/>
                <w:color w:val="FFFFFF"/>
              </w:rPr>
              <w:t>Metric</w:t>
            </w:r>
          </w:p>
        </w:tc>
        <w:tc>
          <w:tcPr>
            <w:tcW w:type="dxa" w:w="4500"/>
            <w:shd w:val="clear" w:color="auto" w:fill="1B3A6B"/>
          </w:tcPr>
          <w:p>
            <w:pPr>
              <w:jc w:val="center"/>
            </w:pPr>
            <w:r>
              <w:rPr>
                <w:b/>
                <w:color w:val="FFFFFF"/>
              </w:rPr>
              <w:t>Value</w:t>
            </w:r>
          </w:p>
        </w:tc>
      </w:tr>
      <w:tr>
        <w:tc>
          <w:tcPr>
            <w:tcW w:type="dxa" w:w="4500"/>
          </w:tcPr>
          <w:p>
            <w:pPr>
              <w:jc w:val="left"/>
            </w:pPr>
            <w:r>
              <w:t>Overall Accuracy</w:t>
            </w:r>
          </w:p>
        </w:tc>
        <w:tc>
          <w:tcPr>
            <w:tcW w:type="dxa" w:w="4500"/>
          </w:tcPr>
          <w:p>
            <w:pPr>
              <w:jc w:val="center"/>
            </w:pPr>
            <w:r>
              <w:t>97.67%</w:t>
            </w:r>
          </w:p>
        </w:tc>
      </w:tr>
      <w:tr>
        <w:tc>
          <w:tcPr>
            <w:tcW w:type="dxa" w:w="4500"/>
            <w:shd w:val="clear" w:color="auto" w:fill="EEF2FF"/>
          </w:tcPr>
          <w:p>
            <w:pPr>
              <w:jc w:val="left"/>
            </w:pPr>
            <w:r>
              <w:t>Macro Precision</w:t>
            </w:r>
          </w:p>
        </w:tc>
        <w:tc>
          <w:tcPr>
            <w:tcW w:type="dxa" w:w="4500"/>
            <w:shd w:val="clear" w:color="auto" w:fill="EEF2FF"/>
          </w:tcPr>
          <w:p>
            <w:pPr>
              <w:jc w:val="center"/>
            </w:pPr>
            <w:r>
              <w:t>97.92%</w:t>
            </w:r>
          </w:p>
        </w:tc>
      </w:tr>
      <w:tr>
        <w:tc>
          <w:tcPr>
            <w:tcW w:type="dxa" w:w="4500"/>
          </w:tcPr>
          <w:p>
            <w:pPr>
              <w:jc w:val="left"/>
            </w:pPr>
            <w:r>
              <w:t>Macro Recall</w:t>
            </w:r>
          </w:p>
        </w:tc>
        <w:tc>
          <w:tcPr>
            <w:tcW w:type="dxa" w:w="4500"/>
          </w:tcPr>
          <w:p>
            <w:pPr>
              <w:jc w:val="center"/>
            </w:pPr>
            <w:r>
              <w:t>97.75%</w:t>
            </w:r>
          </w:p>
        </w:tc>
      </w:tr>
      <w:tr>
        <w:tc>
          <w:tcPr>
            <w:tcW w:type="dxa" w:w="4500"/>
            <w:shd w:val="clear" w:color="auto" w:fill="EEF2FF"/>
          </w:tcPr>
          <w:p>
            <w:pPr>
              <w:jc w:val="left"/>
            </w:pPr>
            <w:r>
              <w:t>Macro F1-Score</w:t>
            </w:r>
          </w:p>
        </w:tc>
        <w:tc>
          <w:tcPr>
            <w:tcW w:type="dxa" w:w="4500"/>
            <w:shd w:val="clear" w:color="auto" w:fill="EEF2FF"/>
          </w:tcPr>
          <w:p>
            <w:pPr>
              <w:jc w:val="center"/>
            </w:pPr>
            <w:r>
              <w:t>97.75%</w:t>
            </w:r>
          </w:p>
        </w:tc>
      </w:tr>
      <w:tr>
        <w:tc>
          <w:tcPr>
            <w:tcW w:type="dxa" w:w="4500"/>
          </w:tcPr>
          <w:p>
            <w:pPr>
              <w:jc w:val="left"/>
            </w:pPr>
            <w:r>
              <w:t>Avg. Confidence</w:t>
            </w:r>
          </w:p>
        </w:tc>
        <w:tc>
          <w:tcPr>
            <w:tcW w:type="dxa" w:w="4500"/>
          </w:tcPr>
          <w:p>
            <w:pPr>
              <w:jc w:val="center"/>
            </w:pPr>
            <w:r>
              <w:t>98.16%</w:t>
            </w:r>
          </w:p>
        </w:tc>
      </w:tr>
      <w:tr>
        <w:tc>
          <w:tcPr>
            <w:tcW w:type="dxa" w:w="4500"/>
            <w:shd w:val="clear" w:color="auto" w:fill="EEF2FF"/>
          </w:tcPr>
          <w:p>
            <w:pPr>
              <w:jc w:val="left"/>
            </w:pPr>
            <w:r>
              <w:t>Total Test Images</w:t>
            </w:r>
          </w:p>
        </w:tc>
        <w:tc>
          <w:tcPr>
            <w:tcW w:type="dxa" w:w="4500"/>
            <w:shd w:val="clear" w:color="auto" w:fill="EEF2FF"/>
          </w:tcPr>
          <w:p>
            <w:pPr>
              <w:jc w:val="center"/>
            </w:pPr>
            <w:r>
              <w:t>1,161</w:t>
            </w:r>
          </w:p>
        </w:tc>
      </w:tr>
    </w:tbl>
    <w:p/>
    <w:p>
      <w:pPr>
        <w:pStyle w:val="BodyText"/>
        <w:jc w:val="center"/>
      </w:pPr>
      <w:r>
        <w:rPr>
          <w:b/>
          <w:sz w:val="22"/>
        </w:rPr>
        <w:t>Table 6.2: Per-Class Classification Metrics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1B3A6B"/>
          </w:tcPr>
          <w:p>
            <w:pPr>
              <w:jc w:val="center"/>
            </w:pPr>
            <w:r>
              <w:rPr>
                <w:b/>
                <w:color w:val="FFFFFF"/>
              </w:rPr>
              <w:t>Class</w:t>
            </w:r>
          </w:p>
        </w:tc>
        <w:tc>
          <w:tcPr>
            <w:tcW w:type="dxa" w:w="1286"/>
            <w:shd w:val="clear" w:color="auto" w:fill="1B3A6B"/>
          </w:tcPr>
          <w:p>
            <w:pPr>
              <w:jc w:val="center"/>
            </w:pPr>
            <w:r>
              <w:rPr>
                <w:b/>
                <w:color w:val="FFFFFF"/>
              </w:rPr>
              <w:t>N</w:t>
            </w:r>
          </w:p>
        </w:tc>
        <w:tc>
          <w:tcPr>
            <w:tcW w:type="dxa" w:w="1286"/>
            <w:shd w:val="clear" w:color="auto" w:fill="1B3A6B"/>
          </w:tcPr>
          <w:p>
            <w:pPr>
              <w:jc w:val="center"/>
            </w:pPr>
            <w:r>
              <w:rPr>
                <w:b/>
                <w:color w:val="FFFFFF"/>
              </w:rPr>
              <w:t>Correct</w:t>
            </w:r>
          </w:p>
        </w:tc>
        <w:tc>
          <w:tcPr>
            <w:tcW w:type="dxa" w:w="1286"/>
            <w:shd w:val="clear" w:color="auto" w:fill="1B3A6B"/>
          </w:tcPr>
          <w:p>
            <w:pPr>
              <w:jc w:val="center"/>
            </w:pPr>
            <w:r>
              <w:rPr>
                <w:b/>
                <w:color w:val="FFFFFF"/>
              </w:rPr>
              <w:t>Accuracy</w:t>
            </w:r>
          </w:p>
        </w:tc>
        <w:tc>
          <w:tcPr>
            <w:tcW w:type="dxa" w:w="1286"/>
            <w:shd w:val="clear" w:color="auto" w:fill="1B3A6B"/>
          </w:tcPr>
          <w:p>
            <w:pPr>
              <w:jc w:val="center"/>
            </w:pPr>
            <w:r>
              <w:rPr>
                <w:b/>
                <w:color w:val="FFFFFF"/>
              </w:rPr>
              <w:t>Precision</w:t>
            </w:r>
          </w:p>
        </w:tc>
        <w:tc>
          <w:tcPr>
            <w:tcW w:type="dxa" w:w="1286"/>
            <w:shd w:val="clear" w:color="auto" w:fill="1B3A6B"/>
          </w:tcPr>
          <w:p>
            <w:pPr>
              <w:jc w:val="center"/>
            </w:pPr>
            <w:r>
              <w:rPr>
                <w:b/>
                <w:color w:val="FFFFFF"/>
              </w:rPr>
              <w:t>Recall</w:t>
            </w:r>
          </w:p>
        </w:tc>
        <w:tc>
          <w:tcPr>
            <w:tcW w:type="dxa" w:w="1286"/>
            <w:shd w:val="clear" w:color="auto" w:fill="1B3A6B"/>
          </w:tcPr>
          <w:p>
            <w:pPr>
              <w:jc w:val="center"/>
            </w:pPr>
            <w:r>
              <w:rPr>
                <w:b/>
                <w:color w:val="FFFFFF"/>
              </w:rPr>
              <w:t>F1-Score</w:t>
            </w:r>
          </w:p>
        </w:tc>
      </w:tr>
      <w:tr>
        <w:tc>
          <w:tcPr>
            <w:tcW w:type="dxa" w:w="1286"/>
          </w:tcPr>
          <w:p>
            <w:pPr>
              <w:jc w:val="left"/>
            </w:pPr>
            <w:r>
              <w:t>Apple</w:t>
            </w:r>
          </w:p>
        </w:tc>
        <w:tc>
          <w:tcPr>
            <w:tcW w:type="dxa" w:w="1286"/>
          </w:tcPr>
          <w:p>
            <w:pPr>
              <w:jc w:val="center"/>
            </w:pPr>
            <w:r>
              <w:t>200</w:t>
            </w:r>
          </w:p>
        </w:tc>
        <w:tc>
          <w:tcPr>
            <w:tcW w:type="dxa" w:w="1286"/>
          </w:tcPr>
          <w:p>
            <w:pPr>
              <w:jc w:val="center"/>
            </w:pPr>
            <w:r>
              <w:t>199</w:t>
            </w:r>
          </w:p>
        </w:tc>
        <w:tc>
          <w:tcPr>
            <w:tcW w:type="dxa" w:w="1286"/>
          </w:tcPr>
          <w:p>
            <w:pPr>
              <w:jc w:val="center"/>
            </w:pPr>
            <w:r>
              <w:t>99.5%</w:t>
            </w:r>
          </w:p>
        </w:tc>
        <w:tc>
          <w:tcPr>
            <w:tcW w:type="dxa" w:w="1286"/>
          </w:tcPr>
          <w:p>
            <w:pPr>
              <w:jc w:val="center"/>
            </w:pPr>
            <w:r>
              <w:t>90.5%</w:t>
            </w:r>
          </w:p>
        </w:tc>
        <w:tc>
          <w:tcPr>
            <w:tcW w:type="dxa" w:w="1286"/>
          </w:tcPr>
          <w:p>
            <w:pPr>
              <w:jc w:val="center"/>
            </w:pPr>
            <w:r>
              <w:t>99.5%</w:t>
            </w:r>
          </w:p>
        </w:tc>
        <w:tc>
          <w:tcPr>
            <w:tcW w:type="dxa" w:w="1286"/>
          </w:tcPr>
          <w:p>
            <w:pPr>
              <w:jc w:val="center"/>
            </w:pPr>
            <w:r>
              <w:t>94.8%</w:t>
            </w:r>
          </w:p>
        </w:tc>
      </w:tr>
      <w:tr>
        <w:tc>
          <w:tcPr>
            <w:tcW w:type="dxa" w:w="1286"/>
            <w:shd w:val="clear" w:color="auto" w:fill="EEF2FF"/>
          </w:tcPr>
          <w:p>
            <w:pPr>
              <w:jc w:val="left"/>
            </w:pPr>
            <w:r>
              <w:t>Apple_Rotten</w:t>
            </w:r>
          </w:p>
        </w:tc>
        <w:tc>
          <w:tcPr>
            <w:tcW w:type="dxa" w:w="1286"/>
            <w:shd w:val="clear" w:color="auto" w:fill="EEF2FF"/>
          </w:tcPr>
          <w:p>
            <w:pPr>
              <w:jc w:val="center"/>
            </w:pPr>
            <w:r>
              <w:t>200</w:t>
            </w:r>
          </w:p>
        </w:tc>
        <w:tc>
          <w:tcPr>
            <w:tcW w:type="dxa" w:w="1286"/>
            <w:shd w:val="clear" w:color="auto" w:fill="EEF2FF"/>
          </w:tcPr>
          <w:p>
            <w:pPr>
              <w:jc w:val="center"/>
            </w:pPr>
            <w:r>
              <w:t>200</w:t>
            </w:r>
          </w:p>
        </w:tc>
        <w:tc>
          <w:tcPr>
            <w:tcW w:type="dxa" w:w="1286"/>
            <w:shd w:val="clear" w:color="auto" w:fill="EEF2FF"/>
          </w:tcPr>
          <w:p>
            <w:pPr>
              <w:jc w:val="center"/>
            </w:pPr>
            <w:r>
              <w:t>100.0%</w:t>
            </w:r>
          </w:p>
        </w:tc>
        <w:tc>
          <w:tcPr>
            <w:tcW w:type="dxa" w:w="1286"/>
            <w:shd w:val="clear" w:color="auto" w:fill="EEF2FF"/>
          </w:tcPr>
          <w:p>
            <w:pPr>
              <w:jc w:val="center"/>
            </w:pPr>
            <w:r>
              <w:t>97.1%</w:t>
            </w:r>
          </w:p>
        </w:tc>
        <w:tc>
          <w:tcPr>
            <w:tcW w:type="dxa" w:w="1286"/>
            <w:shd w:val="clear" w:color="auto" w:fill="EEF2FF"/>
          </w:tcPr>
          <w:p>
            <w:pPr>
              <w:jc w:val="center"/>
            </w:pPr>
            <w:r>
              <w:t>100.0%</w:t>
            </w:r>
          </w:p>
        </w:tc>
        <w:tc>
          <w:tcPr>
            <w:tcW w:type="dxa" w:w="1286"/>
            <w:shd w:val="clear" w:color="auto" w:fill="EEF2FF"/>
          </w:tcPr>
          <w:p>
            <w:pPr>
              <w:jc w:val="center"/>
            </w:pPr>
            <w:r>
              <w:t>98.5%</w:t>
            </w:r>
          </w:p>
        </w:tc>
      </w:tr>
      <w:tr>
        <w:tc>
          <w:tcPr>
            <w:tcW w:type="dxa" w:w="1286"/>
          </w:tcPr>
          <w:p>
            <w:pPr>
              <w:jc w:val="left"/>
            </w:pPr>
            <w:r>
              <w:t>Banana</w:t>
            </w:r>
          </w:p>
        </w:tc>
        <w:tc>
          <w:tcPr>
            <w:tcW w:type="dxa" w:w="1286"/>
          </w:tcPr>
          <w:p>
            <w:pPr>
              <w:jc w:val="center"/>
            </w:pPr>
            <w:r>
              <w:t>161</w:t>
            </w:r>
          </w:p>
        </w:tc>
        <w:tc>
          <w:tcPr>
            <w:tcW w:type="dxa" w:w="1286"/>
          </w:tcPr>
          <w:p>
            <w:pPr>
              <w:jc w:val="center"/>
            </w:pPr>
            <w:r>
              <w:t>161</w:t>
            </w:r>
          </w:p>
        </w:tc>
        <w:tc>
          <w:tcPr>
            <w:tcW w:type="dxa" w:w="1286"/>
          </w:tcPr>
          <w:p>
            <w:pPr>
              <w:jc w:val="center"/>
            </w:pPr>
            <w:r>
              <w:t>100.0%</w:t>
            </w:r>
          </w:p>
        </w:tc>
        <w:tc>
          <w:tcPr>
            <w:tcW w:type="dxa" w:w="1286"/>
          </w:tcPr>
          <w:p>
            <w:pPr>
              <w:jc w:val="center"/>
            </w:pPr>
            <w:r>
              <w:t>100.0%</w:t>
            </w:r>
          </w:p>
        </w:tc>
        <w:tc>
          <w:tcPr>
            <w:tcW w:type="dxa" w:w="1286"/>
          </w:tcPr>
          <w:p>
            <w:pPr>
              <w:jc w:val="center"/>
            </w:pPr>
            <w:r>
              <w:t>100.0%</w:t>
            </w:r>
          </w:p>
        </w:tc>
        <w:tc>
          <w:tcPr>
            <w:tcW w:type="dxa" w:w="1286"/>
          </w:tcPr>
          <w:p>
            <w:pPr>
              <w:jc w:val="center"/>
            </w:pPr>
            <w:r>
              <w:t>100.0%</w:t>
            </w:r>
          </w:p>
        </w:tc>
      </w:tr>
      <w:tr>
        <w:tc>
          <w:tcPr>
            <w:tcW w:type="dxa" w:w="1286"/>
            <w:shd w:val="clear" w:color="auto" w:fill="EEF2FF"/>
          </w:tcPr>
          <w:p>
            <w:pPr>
              <w:jc w:val="left"/>
            </w:pPr>
            <w:r>
              <w:t>Banana_Rotten</w:t>
            </w:r>
          </w:p>
        </w:tc>
        <w:tc>
          <w:tcPr>
            <w:tcW w:type="dxa" w:w="1286"/>
            <w:shd w:val="clear" w:color="auto" w:fill="EEF2FF"/>
          </w:tcPr>
          <w:p>
            <w:pPr>
              <w:jc w:val="center"/>
            </w:pPr>
            <w:r>
              <w:t>200</w:t>
            </w:r>
          </w:p>
        </w:tc>
        <w:tc>
          <w:tcPr>
            <w:tcW w:type="dxa" w:w="1286"/>
            <w:shd w:val="clear" w:color="auto" w:fill="EEF2FF"/>
          </w:tcPr>
          <w:p>
            <w:pPr>
              <w:jc w:val="center"/>
            </w:pPr>
            <w:r>
              <w:t>198</w:t>
            </w:r>
          </w:p>
        </w:tc>
        <w:tc>
          <w:tcPr>
            <w:tcW w:type="dxa" w:w="1286"/>
            <w:shd w:val="clear" w:color="auto" w:fill="EEF2FF"/>
          </w:tcPr>
          <w:p>
            <w:pPr>
              <w:jc w:val="center"/>
            </w:pPr>
            <w:r>
              <w:t>99.0%</w:t>
            </w:r>
          </w:p>
        </w:tc>
        <w:tc>
          <w:tcPr>
            <w:tcW w:type="dxa" w:w="1286"/>
            <w:shd w:val="clear" w:color="auto" w:fill="EEF2FF"/>
          </w:tcPr>
          <w:p>
            <w:pPr>
              <w:jc w:val="center"/>
            </w:pPr>
            <w:r>
              <w:t>100.0%</w:t>
            </w:r>
          </w:p>
        </w:tc>
        <w:tc>
          <w:tcPr>
            <w:tcW w:type="dxa" w:w="1286"/>
            <w:shd w:val="clear" w:color="auto" w:fill="EEF2FF"/>
          </w:tcPr>
          <w:p>
            <w:pPr>
              <w:jc w:val="center"/>
            </w:pPr>
            <w:r>
              <w:t>99.0%</w:t>
            </w:r>
          </w:p>
        </w:tc>
        <w:tc>
          <w:tcPr>
            <w:tcW w:type="dxa" w:w="1286"/>
            <w:shd w:val="clear" w:color="auto" w:fill="EEF2FF"/>
          </w:tcPr>
          <w:p>
            <w:pPr>
              <w:jc w:val="center"/>
            </w:pPr>
            <w:r>
              <w:t>99.5%</w:t>
            </w:r>
          </w:p>
        </w:tc>
      </w:tr>
      <w:tr>
        <w:tc>
          <w:tcPr>
            <w:tcW w:type="dxa" w:w="1286"/>
          </w:tcPr>
          <w:p>
            <w:pPr>
              <w:jc w:val="left"/>
            </w:pPr>
            <w:r>
              <w:t>Orange</w:t>
            </w:r>
          </w:p>
        </w:tc>
        <w:tc>
          <w:tcPr>
            <w:tcW w:type="dxa" w:w="1286"/>
          </w:tcPr>
          <w:p>
            <w:pPr>
              <w:jc w:val="center"/>
            </w:pPr>
            <w:r>
              <w:t>200</w:t>
            </w:r>
          </w:p>
        </w:tc>
        <w:tc>
          <w:tcPr>
            <w:tcW w:type="dxa" w:w="1286"/>
          </w:tcPr>
          <w:p>
            <w:pPr>
              <w:jc w:val="center"/>
            </w:pPr>
            <w:r>
              <w:t>179</w:t>
            </w:r>
          </w:p>
        </w:tc>
        <w:tc>
          <w:tcPr>
            <w:tcW w:type="dxa" w:w="1286"/>
          </w:tcPr>
          <w:p>
            <w:pPr>
              <w:jc w:val="center"/>
            </w:pPr>
            <w:r>
              <w:t>89.5%</w:t>
            </w:r>
          </w:p>
        </w:tc>
        <w:tc>
          <w:tcPr>
            <w:tcW w:type="dxa" w:w="1286"/>
          </w:tcPr>
          <w:p>
            <w:pPr>
              <w:jc w:val="center"/>
            </w:pPr>
            <w:r>
              <w:t>100.0%</w:t>
            </w:r>
          </w:p>
        </w:tc>
        <w:tc>
          <w:tcPr>
            <w:tcW w:type="dxa" w:w="1286"/>
          </w:tcPr>
          <w:p>
            <w:pPr>
              <w:jc w:val="center"/>
            </w:pPr>
            <w:r>
              <w:t>89.5%</w:t>
            </w:r>
          </w:p>
        </w:tc>
        <w:tc>
          <w:tcPr>
            <w:tcW w:type="dxa" w:w="1286"/>
          </w:tcPr>
          <w:p>
            <w:pPr>
              <w:jc w:val="center"/>
            </w:pPr>
            <w:r>
              <w:t>94.5%</w:t>
            </w:r>
          </w:p>
        </w:tc>
      </w:tr>
      <w:tr>
        <w:tc>
          <w:tcPr>
            <w:tcW w:type="dxa" w:w="1286"/>
            <w:shd w:val="clear" w:color="auto" w:fill="EEF2FF"/>
          </w:tcPr>
          <w:p>
            <w:pPr>
              <w:jc w:val="left"/>
            </w:pPr>
            <w:r>
              <w:t>Orange_Rotten</w:t>
            </w:r>
          </w:p>
        </w:tc>
        <w:tc>
          <w:tcPr>
            <w:tcW w:type="dxa" w:w="1286"/>
            <w:shd w:val="clear" w:color="auto" w:fill="EEF2FF"/>
          </w:tcPr>
          <w:p>
            <w:pPr>
              <w:jc w:val="center"/>
            </w:pPr>
            <w:r>
              <w:t>200</w:t>
            </w:r>
          </w:p>
        </w:tc>
        <w:tc>
          <w:tcPr>
            <w:tcW w:type="dxa" w:w="1286"/>
            <w:shd w:val="clear" w:color="auto" w:fill="EEF2FF"/>
          </w:tcPr>
          <w:p>
            <w:pPr>
              <w:jc w:val="center"/>
            </w:pPr>
            <w:r>
              <w:t>197</w:t>
            </w:r>
          </w:p>
        </w:tc>
        <w:tc>
          <w:tcPr>
            <w:tcW w:type="dxa" w:w="1286"/>
            <w:shd w:val="clear" w:color="auto" w:fill="EEF2FF"/>
          </w:tcPr>
          <w:p>
            <w:pPr>
              <w:jc w:val="center"/>
            </w:pPr>
            <w:r>
              <w:t>98.5%</w:t>
            </w:r>
          </w:p>
        </w:tc>
        <w:tc>
          <w:tcPr>
            <w:tcW w:type="dxa" w:w="1286"/>
            <w:shd w:val="clear" w:color="auto" w:fill="EEF2FF"/>
          </w:tcPr>
          <w:p>
            <w:pPr>
              <w:jc w:val="center"/>
            </w:pPr>
            <w:r>
              <w:t>100.0%</w:t>
            </w:r>
          </w:p>
        </w:tc>
        <w:tc>
          <w:tcPr>
            <w:tcW w:type="dxa" w:w="1286"/>
            <w:shd w:val="clear" w:color="auto" w:fill="EEF2FF"/>
          </w:tcPr>
          <w:p>
            <w:pPr>
              <w:jc w:val="center"/>
            </w:pPr>
            <w:r>
              <w:t>98.5%</w:t>
            </w:r>
          </w:p>
        </w:tc>
        <w:tc>
          <w:tcPr>
            <w:tcW w:type="dxa" w:w="1286"/>
            <w:shd w:val="clear" w:color="auto" w:fill="EEF2FF"/>
          </w:tcPr>
          <w:p>
            <w:pPr>
              <w:jc w:val="center"/>
            </w:pPr>
            <w:r>
              <w:t>99.2%</w:t>
            </w:r>
          </w:p>
        </w:tc>
      </w:tr>
    </w:tbl>
    <w:p/>
    <w:p/>
    <w:p>
      <w:pPr>
        <w:jc w:val="center"/>
      </w:pPr>
      <w:r>
        <w:rPr>
          <w:b/>
          <w:sz w:val="22"/>
        </w:rPr>
        <w:t>Table 6.3: Confusion Matrix (Rows = True Label, Cols = Predicted)</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1B3A6B"/>
          </w:tcPr>
          <w:p>
            <w:pPr>
              <w:jc w:val="center"/>
            </w:pPr>
            <w:r>
              <w:rPr>
                <w:b/>
                <w:color w:val="FFFFFF"/>
              </w:rPr>
              <w:t>True \ Pred</w:t>
            </w:r>
          </w:p>
        </w:tc>
        <w:tc>
          <w:tcPr>
            <w:tcW w:type="dxa" w:w="1286"/>
            <w:shd w:val="clear" w:color="auto" w:fill="1B3A6B"/>
          </w:tcPr>
          <w:p>
            <w:pPr>
              <w:jc w:val="center"/>
            </w:pPr>
            <w:r>
              <w:rPr>
                <w:b/>
                <w:color w:val="FFFFFF"/>
              </w:rPr>
              <w:t>Apple</w:t>
            </w:r>
          </w:p>
        </w:tc>
        <w:tc>
          <w:tcPr>
            <w:tcW w:type="dxa" w:w="1286"/>
            <w:shd w:val="clear" w:color="auto" w:fill="1B3A6B"/>
          </w:tcPr>
          <w:p>
            <w:pPr>
              <w:jc w:val="center"/>
            </w:pPr>
            <w:r>
              <w:rPr>
                <w:b/>
                <w:color w:val="FFFFFF"/>
              </w:rPr>
              <w:t>Apple_Rot</w:t>
            </w:r>
          </w:p>
        </w:tc>
        <w:tc>
          <w:tcPr>
            <w:tcW w:type="dxa" w:w="1286"/>
            <w:shd w:val="clear" w:color="auto" w:fill="1B3A6B"/>
          </w:tcPr>
          <w:p>
            <w:pPr>
              <w:jc w:val="center"/>
            </w:pPr>
            <w:r>
              <w:rPr>
                <w:b/>
                <w:color w:val="FFFFFF"/>
              </w:rPr>
              <w:t>Banana</w:t>
            </w:r>
          </w:p>
        </w:tc>
        <w:tc>
          <w:tcPr>
            <w:tcW w:type="dxa" w:w="1286"/>
            <w:shd w:val="clear" w:color="auto" w:fill="1B3A6B"/>
          </w:tcPr>
          <w:p>
            <w:pPr>
              <w:jc w:val="center"/>
            </w:pPr>
            <w:r>
              <w:rPr>
                <w:b/>
                <w:color w:val="FFFFFF"/>
              </w:rPr>
              <w:t>Banana_Rot</w:t>
            </w:r>
          </w:p>
        </w:tc>
        <w:tc>
          <w:tcPr>
            <w:tcW w:type="dxa" w:w="1286"/>
            <w:shd w:val="clear" w:color="auto" w:fill="1B3A6B"/>
          </w:tcPr>
          <w:p>
            <w:pPr>
              <w:jc w:val="center"/>
            </w:pPr>
            <w:r>
              <w:rPr>
                <w:b/>
                <w:color w:val="FFFFFF"/>
              </w:rPr>
              <w:t>Orange</w:t>
            </w:r>
          </w:p>
        </w:tc>
        <w:tc>
          <w:tcPr>
            <w:tcW w:type="dxa" w:w="1286"/>
            <w:shd w:val="clear" w:color="auto" w:fill="1B3A6B"/>
          </w:tcPr>
          <w:p>
            <w:pPr>
              <w:jc w:val="center"/>
            </w:pPr>
            <w:r>
              <w:rPr>
                <w:b/>
                <w:color w:val="FFFFFF"/>
              </w:rPr>
              <w:t>Orange_Rot</w:t>
            </w:r>
          </w:p>
        </w:tc>
      </w:tr>
      <w:tr>
        <w:tc>
          <w:tcPr>
            <w:tcW w:type="dxa" w:w="1286"/>
          </w:tcPr>
          <w:p>
            <w:pPr>
              <w:jc w:val="left"/>
            </w:pPr>
            <w:r>
              <w:t>Apple</w:t>
            </w:r>
          </w:p>
        </w:tc>
        <w:tc>
          <w:tcPr>
            <w:tcW w:type="dxa" w:w="1286"/>
          </w:tcPr>
          <w:p>
            <w:pPr>
              <w:jc w:val="center"/>
            </w:pPr>
            <w:r>
              <w:t>199</w:t>
            </w:r>
          </w:p>
        </w:tc>
        <w:tc>
          <w:tcPr>
            <w:tcW w:type="dxa" w:w="1286"/>
          </w:tcPr>
          <w:p>
            <w:pPr>
              <w:jc w:val="center"/>
            </w:pPr>
            <w:r>
              <w:t>1</w:t>
            </w:r>
          </w:p>
        </w:tc>
        <w:tc>
          <w:tcPr>
            <w:tcW w:type="dxa" w:w="1286"/>
          </w:tcPr>
          <w:p>
            <w:pPr>
              <w:jc w:val="center"/>
            </w:pPr>
            <w:r>
              <w:t>0</w:t>
            </w:r>
          </w:p>
        </w:tc>
        <w:tc>
          <w:tcPr>
            <w:tcW w:type="dxa" w:w="1286"/>
          </w:tcPr>
          <w:p>
            <w:pPr>
              <w:jc w:val="center"/>
            </w:pPr>
            <w:r>
              <w:t>0</w:t>
            </w:r>
          </w:p>
        </w:tc>
        <w:tc>
          <w:tcPr>
            <w:tcW w:type="dxa" w:w="1286"/>
          </w:tcPr>
          <w:p>
            <w:pPr>
              <w:jc w:val="center"/>
            </w:pPr>
            <w:r>
              <w:t>0</w:t>
            </w:r>
          </w:p>
        </w:tc>
        <w:tc>
          <w:tcPr>
            <w:tcW w:type="dxa" w:w="1286"/>
          </w:tcPr>
          <w:p>
            <w:pPr>
              <w:jc w:val="center"/>
            </w:pPr>
            <w:r>
              <w:t>0</w:t>
            </w:r>
          </w:p>
        </w:tc>
      </w:tr>
      <w:tr>
        <w:tc>
          <w:tcPr>
            <w:tcW w:type="dxa" w:w="1286"/>
            <w:shd w:val="clear" w:color="auto" w:fill="EEF2FF"/>
          </w:tcPr>
          <w:p>
            <w:pPr>
              <w:jc w:val="left"/>
            </w:pPr>
            <w:r>
              <w:t>Apple_Rotten</w:t>
            </w:r>
          </w:p>
        </w:tc>
        <w:tc>
          <w:tcPr>
            <w:tcW w:type="dxa" w:w="1286"/>
            <w:shd w:val="clear" w:color="auto" w:fill="EEF2FF"/>
          </w:tcPr>
          <w:p>
            <w:pPr>
              <w:jc w:val="center"/>
            </w:pPr>
            <w:r>
              <w:t>0</w:t>
            </w:r>
          </w:p>
        </w:tc>
        <w:tc>
          <w:tcPr>
            <w:tcW w:type="dxa" w:w="1286"/>
            <w:shd w:val="clear" w:color="auto" w:fill="EEF2FF"/>
          </w:tcPr>
          <w:p>
            <w:pPr>
              <w:jc w:val="center"/>
            </w:pPr>
            <w:r>
              <w:t>200</w:t>
            </w:r>
          </w:p>
        </w:tc>
        <w:tc>
          <w:tcPr>
            <w:tcW w:type="dxa" w:w="1286"/>
            <w:shd w:val="clear" w:color="auto" w:fill="EEF2FF"/>
          </w:tcPr>
          <w:p>
            <w:pPr>
              <w:jc w:val="center"/>
            </w:pPr>
            <w:r>
              <w:t>0</w:t>
            </w:r>
          </w:p>
        </w:tc>
        <w:tc>
          <w:tcPr>
            <w:tcW w:type="dxa" w:w="1286"/>
            <w:shd w:val="clear" w:color="auto" w:fill="EEF2FF"/>
          </w:tcPr>
          <w:p>
            <w:pPr>
              <w:jc w:val="center"/>
            </w:pPr>
            <w:r>
              <w:t>0</w:t>
            </w:r>
          </w:p>
        </w:tc>
        <w:tc>
          <w:tcPr>
            <w:tcW w:type="dxa" w:w="1286"/>
            <w:shd w:val="clear" w:color="auto" w:fill="EEF2FF"/>
          </w:tcPr>
          <w:p>
            <w:pPr>
              <w:jc w:val="center"/>
            </w:pPr>
            <w:r>
              <w:t>0</w:t>
            </w:r>
          </w:p>
        </w:tc>
        <w:tc>
          <w:tcPr>
            <w:tcW w:type="dxa" w:w="1286"/>
            <w:shd w:val="clear" w:color="auto" w:fill="EEF2FF"/>
          </w:tcPr>
          <w:p>
            <w:pPr>
              <w:jc w:val="center"/>
            </w:pPr>
            <w:r>
              <w:t>0</w:t>
            </w:r>
          </w:p>
        </w:tc>
      </w:tr>
      <w:tr>
        <w:tc>
          <w:tcPr>
            <w:tcW w:type="dxa" w:w="1286"/>
          </w:tcPr>
          <w:p>
            <w:pPr>
              <w:jc w:val="left"/>
            </w:pPr>
            <w:r>
              <w:t>Banana</w:t>
            </w:r>
          </w:p>
        </w:tc>
        <w:tc>
          <w:tcPr>
            <w:tcW w:type="dxa" w:w="1286"/>
          </w:tcPr>
          <w:p>
            <w:pPr>
              <w:jc w:val="center"/>
            </w:pPr>
            <w:r>
              <w:t>0</w:t>
            </w:r>
          </w:p>
        </w:tc>
        <w:tc>
          <w:tcPr>
            <w:tcW w:type="dxa" w:w="1286"/>
          </w:tcPr>
          <w:p>
            <w:pPr>
              <w:jc w:val="center"/>
            </w:pPr>
            <w:r>
              <w:t>0</w:t>
            </w:r>
          </w:p>
        </w:tc>
        <w:tc>
          <w:tcPr>
            <w:tcW w:type="dxa" w:w="1286"/>
          </w:tcPr>
          <w:p>
            <w:pPr>
              <w:jc w:val="center"/>
            </w:pPr>
            <w:r>
              <w:t>161</w:t>
            </w:r>
          </w:p>
        </w:tc>
        <w:tc>
          <w:tcPr>
            <w:tcW w:type="dxa" w:w="1286"/>
          </w:tcPr>
          <w:p>
            <w:pPr>
              <w:jc w:val="center"/>
            </w:pPr>
            <w:r>
              <w:t>0</w:t>
            </w:r>
          </w:p>
        </w:tc>
        <w:tc>
          <w:tcPr>
            <w:tcW w:type="dxa" w:w="1286"/>
          </w:tcPr>
          <w:p>
            <w:pPr>
              <w:jc w:val="center"/>
            </w:pPr>
            <w:r>
              <w:t>0</w:t>
            </w:r>
          </w:p>
        </w:tc>
        <w:tc>
          <w:tcPr>
            <w:tcW w:type="dxa" w:w="1286"/>
          </w:tcPr>
          <w:p>
            <w:pPr>
              <w:jc w:val="center"/>
            </w:pPr>
            <w:r>
              <w:t>0</w:t>
            </w:r>
          </w:p>
        </w:tc>
      </w:tr>
      <w:tr>
        <w:tc>
          <w:tcPr>
            <w:tcW w:type="dxa" w:w="1286"/>
            <w:shd w:val="clear" w:color="auto" w:fill="EEF2FF"/>
          </w:tcPr>
          <w:p>
            <w:pPr>
              <w:jc w:val="left"/>
            </w:pPr>
            <w:r>
              <w:t>Banana_Rotten</w:t>
            </w:r>
          </w:p>
        </w:tc>
        <w:tc>
          <w:tcPr>
            <w:tcW w:type="dxa" w:w="1286"/>
            <w:shd w:val="clear" w:color="auto" w:fill="EEF2FF"/>
          </w:tcPr>
          <w:p>
            <w:pPr>
              <w:jc w:val="center"/>
            </w:pPr>
            <w:r>
              <w:t>0</w:t>
            </w:r>
          </w:p>
        </w:tc>
        <w:tc>
          <w:tcPr>
            <w:tcW w:type="dxa" w:w="1286"/>
            <w:shd w:val="clear" w:color="auto" w:fill="EEF2FF"/>
          </w:tcPr>
          <w:p>
            <w:pPr>
              <w:jc w:val="center"/>
            </w:pPr>
            <w:r>
              <w:t>2</w:t>
            </w:r>
          </w:p>
        </w:tc>
        <w:tc>
          <w:tcPr>
            <w:tcW w:type="dxa" w:w="1286"/>
            <w:shd w:val="clear" w:color="auto" w:fill="EEF2FF"/>
          </w:tcPr>
          <w:p>
            <w:pPr>
              <w:jc w:val="center"/>
            </w:pPr>
            <w:r>
              <w:t>0</w:t>
            </w:r>
          </w:p>
        </w:tc>
        <w:tc>
          <w:tcPr>
            <w:tcW w:type="dxa" w:w="1286"/>
            <w:shd w:val="clear" w:color="auto" w:fill="EEF2FF"/>
          </w:tcPr>
          <w:p>
            <w:pPr>
              <w:jc w:val="center"/>
            </w:pPr>
            <w:r>
              <w:t>198</w:t>
            </w:r>
          </w:p>
        </w:tc>
        <w:tc>
          <w:tcPr>
            <w:tcW w:type="dxa" w:w="1286"/>
            <w:shd w:val="clear" w:color="auto" w:fill="EEF2FF"/>
          </w:tcPr>
          <w:p>
            <w:pPr>
              <w:jc w:val="center"/>
            </w:pPr>
            <w:r>
              <w:t>0</w:t>
            </w:r>
          </w:p>
        </w:tc>
        <w:tc>
          <w:tcPr>
            <w:tcW w:type="dxa" w:w="1286"/>
            <w:shd w:val="clear" w:color="auto" w:fill="EEF2FF"/>
          </w:tcPr>
          <w:p>
            <w:pPr>
              <w:jc w:val="center"/>
            </w:pPr>
            <w:r>
              <w:t>0</w:t>
            </w:r>
          </w:p>
        </w:tc>
      </w:tr>
      <w:tr>
        <w:tc>
          <w:tcPr>
            <w:tcW w:type="dxa" w:w="1286"/>
          </w:tcPr>
          <w:p>
            <w:pPr>
              <w:jc w:val="left"/>
            </w:pPr>
            <w:r>
              <w:t>Orange</w:t>
            </w:r>
          </w:p>
        </w:tc>
        <w:tc>
          <w:tcPr>
            <w:tcW w:type="dxa" w:w="1286"/>
          </w:tcPr>
          <w:p>
            <w:pPr>
              <w:jc w:val="center"/>
            </w:pPr>
            <w:r>
              <w:t>21</w:t>
            </w:r>
          </w:p>
        </w:tc>
        <w:tc>
          <w:tcPr>
            <w:tcW w:type="dxa" w:w="1286"/>
          </w:tcPr>
          <w:p>
            <w:pPr>
              <w:jc w:val="center"/>
            </w:pPr>
            <w:r>
              <w:t>0</w:t>
            </w:r>
          </w:p>
        </w:tc>
        <w:tc>
          <w:tcPr>
            <w:tcW w:type="dxa" w:w="1286"/>
          </w:tcPr>
          <w:p>
            <w:pPr>
              <w:jc w:val="center"/>
            </w:pPr>
            <w:r>
              <w:t>0</w:t>
            </w:r>
          </w:p>
        </w:tc>
        <w:tc>
          <w:tcPr>
            <w:tcW w:type="dxa" w:w="1286"/>
          </w:tcPr>
          <w:p>
            <w:pPr>
              <w:jc w:val="center"/>
            </w:pPr>
            <w:r>
              <w:t>0</w:t>
            </w:r>
          </w:p>
        </w:tc>
        <w:tc>
          <w:tcPr>
            <w:tcW w:type="dxa" w:w="1286"/>
          </w:tcPr>
          <w:p>
            <w:pPr>
              <w:jc w:val="center"/>
            </w:pPr>
            <w:r>
              <w:t>179</w:t>
            </w:r>
          </w:p>
        </w:tc>
        <w:tc>
          <w:tcPr>
            <w:tcW w:type="dxa" w:w="1286"/>
          </w:tcPr>
          <w:p>
            <w:pPr>
              <w:jc w:val="center"/>
            </w:pPr>
            <w:r>
              <w:t>0</w:t>
            </w:r>
          </w:p>
        </w:tc>
      </w:tr>
      <w:tr>
        <w:tc>
          <w:tcPr>
            <w:tcW w:type="dxa" w:w="1286"/>
            <w:shd w:val="clear" w:color="auto" w:fill="EEF2FF"/>
          </w:tcPr>
          <w:p>
            <w:pPr>
              <w:jc w:val="left"/>
            </w:pPr>
            <w:r>
              <w:t>Orange_Rotten</w:t>
            </w:r>
          </w:p>
        </w:tc>
        <w:tc>
          <w:tcPr>
            <w:tcW w:type="dxa" w:w="1286"/>
            <w:shd w:val="clear" w:color="auto" w:fill="EEF2FF"/>
          </w:tcPr>
          <w:p>
            <w:pPr>
              <w:jc w:val="center"/>
            </w:pPr>
            <w:r>
              <w:t>0</w:t>
            </w:r>
          </w:p>
        </w:tc>
        <w:tc>
          <w:tcPr>
            <w:tcW w:type="dxa" w:w="1286"/>
            <w:shd w:val="clear" w:color="auto" w:fill="EEF2FF"/>
          </w:tcPr>
          <w:p>
            <w:pPr>
              <w:jc w:val="center"/>
            </w:pPr>
            <w:r>
              <w:t>3</w:t>
            </w:r>
          </w:p>
        </w:tc>
        <w:tc>
          <w:tcPr>
            <w:tcW w:type="dxa" w:w="1286"/>
            <w:shd w:val="clear" w:color="auto" w:fill="EEF2FF"/>
          </w:tcPr>
          <w:p>
            <w:pPr>
              <w:jc w:val="center"/>
            </w:pPr>
            <w:r>
              <w:t>0</w:t>
            </w:r>
          </w:p>
        </w:tc>
        <w:tc>
          <w:tcPr>
            <w:tcW w:type="dxa" w:w="1286"/>
            <w:shd w:val="clear" w:color="auto" w:fill="EEF2FF"/>
          </w:tcPr>
          <w:p>
            <w:pPr>
              <w:jc w:val="center"/>
            </w:pPr>
            <w:r>
              <w:t>0</w:t>
            </w:r>
          </w:p>
        </w:tc>
        <w:tc>
          <w:tcPr>
            <w:tcW w:type="dxa" w:w="1286"/>
            <w:shd w:val="clear" w:color="auto" w:fill="EEF2FF"/>
          </w:tcPr>
          <w:p>
            <w:pPr>
              <w:jc w:val="center"/>
            </w:pPr>
            <w:r>
              <w:t>0</w:t>
            </w:r>
          </w:p>
        </w:tc>
        <w:tc>
          <w:tcPr>
            <w:tcW w:type="dxa" w:w="1286"/>
            <w:shd w:val="clear" w:color="auto" w:fill="EEF2FF"/>
          </w:tcPr>
          <w:p>
            <w:pPr>
              <w:jc w:val="center"/>
            </w:pPr>
            <w:r>
              <w:t>197</w:t>
            </w:r>
          </w:p>
        </w:tc>
      </w:tr>
    </w:tbl>
    <w:p/>
    <w:p>
      <w:pPr>
        <w:pStyle w:val="Heading2"/>
      </w:pPr>
      <w:r>
        <w:t>6.1  Key Observations</w:t>
      </w:r>
    </w:p>
    <w:p>
      <w:pPr>
        <w:pStyle w:val="ListParagraph"/>
      </w:pPr>
      <w:r>
        <w:t>The classifier achieved 97.67% overall accuracy on the clean held-out test split.</w:t>
      </w:r>
    </w:p>
    <w:p>
      <w:pPr>
        <w:pStyle w:val="ListParagraph"/>
      </w:pPr>
      <w:r>
        <w:t>Apple and Banana achieved near-perfect classification (≥99% accuracy).</w:t>
      </w:r>
    </w:p>
    <w:p>
      <w:pPr>
        <w:pStyle w:val="ListParagraph"/>
      </w:pPr>
      <w:r>
        <w:t>Orange showed the lowest per-class accuracy (89.5%) due to visual similarity with Apple under certain lighting.</w:t>
      </w:r>
    </w:p>
    <w:p>
      <w:pPr>
        <w:pStyle w:val="ListParagraph"/>
      </w:pPr>
      <w:r>
        <w:t>Rotten classes were classified with high precision (97–100%), minimising false-positive decay alerts.</w:t>
      </w:r>
    </w:p>
    <w:p>
      <w:pPr>
        <w:pStyle w:val="ListParagraph"/>
      </w:pPr>
      <w:r>
        <w:t>High average confidence (98.16%) indicates the model produces well-calibrated predictions.</w:t>
      </w:r>
    </w:p>
    <w:p>
      <w:r>
        <w:br w:type="page"/>
      </w:r>
    </w:p>
    <w:p>
      <w:pPr>
        <w:pStyle w:val="Heading1"/>
      </w:pPr>
      <w:r>
        <w:t>CHAPTER 7</w:t>
      </w:r>
    </w:p>
    <w:p>
      <w:pPr>
        <w:pStyle w:val="Heading3"/>
      </w:pPr>
      <w:r>
        <w:t>CONCLUSION</w:t>
      </w:r>
    </w:p>
    <w:p>
      <w:pPr>
        <w:pStyle w:val="BodyText"/>
      </w:pPr>
      <w:r>
        <w:t>FruitSense demonstrates that a lightweight MobileNetV2 classifier, combined with a colorimetric scoring engine, can deliver reliable fruit quality assessment from a single consumer photograph. The system achieves 97.67% overall accuracy (in-distribution (clean lab) evaluation), with a macro F1-score of 97.75%, confirming its viability for practical deployment.</w:t>
        <w:br/>
        <w:br/>
        <w:t>Future work includes expanding the supported fruit set (Mango, Strawberry, Tomato), integrating on-device inference via TensorFlow Lite for offline mobile use, and training on a diverse real-world dataset to close the accuracy gap observed under distribution shift conditions.</w:t>
      </w:r>
    </w:p>
    <w:p>
      <w:r>
        <w:br w:type="page"/>
      </w:r>
    </w:p>
    <w:p>
      <w:pPr>
        <w:pStyle w:val="Heading1"/>
      </w:pPr>
      <w:r>
        <w:t>REFERENCES</w:t>
      </w:r>
    </w:p>
    <w:p>
      <w:pPr>
        <w:pStyle w:val="ListParagraph"/>
      </w:pPr>
      <w:r>
        <w:t>[1] Mureşan, H. &amp; Oltean, M. (2018). Fruit recognition from images using deep learning. Acta Universitatis Sapientiae, Informatica, 10(1), 26–42.</w:t>
      </w:r>
    </w:p>
    <w:p>
      <w:pPr>
        <w:pStyle w:val="ListParagraph"/>
      </w:pPr>
      <w:r>
        <w:t>[2] Kamilaris, A. &amp; Prenafeta-Boldú, F.X. (2018). Deep learning in agriculture: A survey. Computers and Electronics in Agriculture, 147, 70–90.</w:t>
      </w:r>
    </w:p>
    <w:p>
      <w:pPr>
        <w:pStyle w:val="ListParagraph"/>
      </w:pPr>
      <w:r>
        <w:t>[3] Sandler, M., Howard, A., Zhu, M., Zhmoginov, A. &amp; Chen, L.C. (2018). MobileNetV2: Inverted residuals and linear bottlenecks. CVPR 2018.</w:t>
      </w:r>
    </w:p>
    <w:p>
      <w:pPr>
        <w:pStyle w:val="ListParagraph"/>
      </w:pPr>
      <w:r>
        <w:t>[4] Howard, A. et al. (2019). Searching for MobileNetV3. ICCV 2019.</w:t>
      </w:r>
    </w:p>
    <w:p>
      <w:pPr>
        <w:pStyle w:val="ListParagraph"/>
      </w:pPr>
      <w:r>
        <w:t>[5] He, K., Zhang, X., Ren, S. &amp; Sun, J. (2016). Deep residual learning for image recognition. CVPR 2016, pp. 770–778.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