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FruitSense: AI-Powered Fruit Quality Analysis System</w:t>
      </w:r>
    </w:p>
    <w:p>
      <w:pPr>
        <w:jc w:val="center"/>
      </w:pPr>
      <w:r>
        <w:rPr>
          <w:b/>
          <w:sz w:val="28"/>
        </w:rPr>
        <w:t>A PROJECT REPORT</w:t>
      </w:r>
    </w:p>
    <w:p>
      <w:pPr>
        <w:jc w:val="center"/>
      </w:pPr>
      <w:r>
        <w:t>Submitted by</w:t>
      </w:r>
    </w:p>
    <w:p>
      <w:pPr>
        <w:jc w:val="center"/>
      </w:pPr>
      <w:r>
        <w:rPr>
          <w:b/>
        </w:rPr>
        <w:t>Gautam  [Reg No: RA2110260400XXX]</w:t>
      </w:r>
    </w:p>
    <w:p>
      <w:pPr>
        <w:jc w:val="center"/>
      </w:pPr>
      <w:r>
        <w:rPr>
          <w:b/>
        </w:rPr>
        <w:t>Student 2  [Reg No: RA2110260400YYY]</w:t>
      </w:r>
    </w:p>
    <w:p>
      <w:pPr>
        <w:jc w:val="center"/>
      </w:pPr>
      <w:r>
        <w:rPr>
          <w:b/>
        </w:rPr>
        <w:t>Student 3  [Reg No: RA2110260400ZZZ]</w:t>
      </w:r>
    </w:p>
    <w:p>
      <w:pPr>
        <w:jc w:val="center"/>
      </w:pPr>
      <w:r>
        <w:t>Under the guidance of</w:t>
      </w:r>
    </w:p>
    <w:p>
      <w:pPr>
        <w:jc w:val="center"/>
      </w:pPr>
      <w:r>
        <w:t>Dr. [Guide Name]</w:t>
      </w:r>
    </w:p>
    <w:p>
      <w:pPr>
        <w:jc w:val="center"/>
      </w:pPr>
      <w:r>
        <w:t>Assistant Professor, Department of CSE</w:t>
      </w:r>
    </w:p>
    <w:p>
      <w:pPr>
        <w:jc w:val="center"/>
      </w:pPr>
      <w:r>
        <w:t>in partial fulfillment for the award of the degree of</w:t>
      </w:r>
    </w:p>
    <w:p>
      <w:pPr>
        <w:jc w:val="center"/>
      </w:pPr>
      <w:r>
        <w:t>BACHELOR OF TECHNOLOGY</w:t>
      </w:r>
    </w:p>
    <w:p>
      <w:pPr>
        <w:jc w:val="center"/>
      </w:pPr>
      <w:r>
        <w:t>in</w:t>
      </w:r>
    </w:p>
    <w:p>
      <w:pPr>
        <w:jc w:val="center"/>
      </w:pPr>
      <w:r>
        <w:t>COMPUTER SCIENCE AND ENGINEERING</w:t>
      </w:r>
    </w:p>
    <w:p>
      <w:pPr>
        <w:jc w:val="center"/>
      </w:pPr>
      <w:r>
        <w:t>FACULTY OF ENGINEERING AND TECHNOLOGY</w:t>
      </w:r>
    </w:p>
    <w:p>
      <w:pPr>
        <w:jc w:val="center"/>
      </w:pPr>
      <w:r>
        <w:t>DEPARTMENT OF COMPUTER SCIENCE &amp; ENGINEERING</w:t>
      </w:r>
    </w:p>
    <w:p>
      <w:pPr>
        <w:jc w:val="center"/>
      </w:pPr>
      <w:r>
        <w:t>SRM INSTITUTE OF SCIENCE AND TECHNOLOGY</w:t>
      </w:r>
    </w:p>
    <w:p>
      <w:pPr>
        <w:jc w:val="center"/>
      </w:pPr>
      <w:r>
        <w:t>VADAPALANI CAMPUS</w:t>
      </w:r>
    </w:p>
    <w:p>
      <w:pPr>
        <w:jc w:val="center"/>
      </w:pPr>
      <w:r>
        <w:t>MAY 2026</w:t>
      </w:r>
    </w:p>
    <w:p>
      <w:r>
        <w:br w:type="page"/>
      </w:r>
    </w:p>
    <w:p>
      <w:pPr>
        <w:pStyle w:val="Heading3"/>
        <w:jc w:val="center"/>
      </w:pPr>
      <w:r>
        <w:t>BONAFIDE CERTIFICATE</w:t>
      </w:r>
    </w:p>
    <w:p>
      <w:pPr>
        <w:pStyle w:val="BodyText"/>
      </w:pPr>
      <w:r>
        <w:t>Certified that 21CSP401L project report titled "FruitSense: AI-Powered Fruit Quality Analysis System" is the bonafide work of "Gautam [Reg No: RA2110260400XXX] and Student 2 [Reg No: RA2110260400YYY] and Student 3 [Reg No: RA2110260400ZZZ]", who carried out the project under my supervision. To the best of my knowledge the work herein does not form any other project report on the basis of which a degree was conferred on an earlier occasion.</w:t>
      </w:r>
    </w:p>
    <w:p/>
    <w:p>
      <w:pPr>
        <w:pStyle w:val="BodyText"/>
      </w:pPr>
      <w:r>
        <w:t>GUIDE</w:t>
        <w:br/>
        <w:t>Dr. [Guide Name]</w:t>
        <w:br/>
        <w:t>Assistant Professor, Department of CSE</w:t>
        <w:br/>
        <w:t>Dept. of CSE</w:t>
      </w:r>
    </w:p>
    <w:p/>
    <w:p>
      <w:pPr>
        <w:pStyle w:val="BodyText"/>
      </w:pPr>
      <w:r>
        <w:t>HEAD OF THE DEPARTMENT</w:t>
        <w:br/>
        <w:t>Dr. Golda Dilip</w:t>
        <w:br/>
        <w:t>Professor</w:t>
        <w:br/>
        <w:t>Dept. of CSE</w:t>
      </w:r>
    </w:p>
    <w:p>
      <w:r>
        <w:br w:type="page"/>
      </w:r>
    </w:p>
    <w:p>
      <w:pPr>
        <w:pStyle w:val="Heading3"/>
        <w:jc w:val="center"/>
      </w:pPr>
      <w:r>
        <w:t>ABSTRACT</w:t>
      </w:r>
    </w:p>
    <w:p>
      <w:pPr>
        <w:pStyle w:val="BodyText"/>
      </w:pPr>
      <w:r>
        <w:t>FruitSense is an AI-powered fruit quality analysis system that classifies fruit type and freshness from a single photograph using MobileNetV2 transfer learning. Trained on a merged dataset of 11,949 images across six classes (Apple, Apple_Rotten, Banana, Banana_Rotten, Orange, Orange_Rotten), the system combines deep learning classification with a CIE L*a*b* colorimetric scoring engine and a SE-CNN regression model to produce a continuous freshness score, decay percentage, and estimated shelf-life. A FastAPI REST backend and React frontend deliver sub-second inference on standard hardware. Evaluated on a held-out test set of 1,161 images, the classifier achieved 89.15% overall accuracy with a macro F1-score of 89.23%.</w:t>
      </w:r>
    </w:p>
    <w:p>
      <w:r>
        <w:br w:type="page"/>
      </w:r>
    </w:p>
    <w:p>
      <w:pPr>
        <w:pStyle w:val="Heading3"/>
        <w:jc w:val="center"/>
      </w:pPr>
      <w:r>
        <w:t>TABLE OF CONTENTS</w:t>
      </w:r>
    </w:p>
    <w:tbl>
      <w:tblPr>
        <w:tblStyle w:val="TableGrid"/>
        <w:tblW w:type="auto" w:w="0"/>
        <w:tblLook w:firstColumn="1" w:firstRow="1" w:lastColumn="0" w:lastRow="0" w:noHBand="0" w:noVBand="1" w:val="04A0"/>
      </w:tblPr>
      <w:tblGrid>
        <w:gridCol w:w="4500"/>
        <w:gridCol w:w="4500"/>
      </w:tblGrid>
      <w:tr>
        <w:tc>
          <w:tcPr>
            <w:tcW w:type="dxa" w:w="4500"/>
          </w:tcPr>
          <w:p>
            <w:r>
              <w:t>1  INTRODUCTION</w:t>
            </w:r>
          </w:p>
        </w:tc>
        <w:tc>
          <w:tcPr>
            <w:tcW w:type="dxa" w:w="4500"/>
          </w:tcPr>
          <w:p>
            <w:pPr>
              <w:jc w:val="right"/>
            </w:pPr>
            <w:r>
              <w:t>1</w:t>
            </w:r>
          </w:p>
        </w:tc>
      </w:tr>
      <w:tr>
        <w:tc>
          <w:tcPr>
            <w:tcW w:type="dxa" w:w="4500"/>
          </w:tcPr>
          <w:p>
            <w:r>
              <w:t xml:space="preserve">   1.1  Background and Motivation</w:t>
            </w:r>
          </w:p>
        </w:tc>
        <w:tc>
          <w:tcPr>
            <w:tcW w:type="dxa" w:w="4500"/>
          </w:tcPr>
          <w:p>
            <w:pPr>
              <w:jc w:val="right"/>
            </w:pPr>
            <w:r>
              <w:t>1</w:t>
            </w:r>
          </w:p>
        </w:tc>
      </w:tr>
      <w:tr>
        <w:tc>
          <w:tcPr>
            <w:tcW w:type="dxa" w:w="4500"/>
          </w:tcPr>
          <w:p>
            <w:r>
              <w:t xml:space="preserve">   1.2  Problem Statement</w:t>
            </w:r>
          </w:p>
        </w:tc>
        <w:tc>
          <w:tcPr>
            <w:tcW w:type="dxa" w:w="4500"/>
          </w:tcPr>
          <w:p>
            <w:pPr>
              <w:jc w:val="right"/>
            </w:pPr>
            <w:r>
              <w:t>2</w:t>
            </w:r>
          </w:p>
        </w:tc>
      </w:tr>
      <w:tr>
        <w:tc>
          <w:tcPr>
            <w:tcW w:type="dxa" w:w="4500"/>
          </w:tcPr>
          <w:p>
            <w:r>
              <w:t xml:space="preserve">   1.3  Objectives</w:t>
            </w:r>
          </w:p>
        </w:tc>
        <w:tc>
          <w:tcPr>
            <w:tcW w:type="dxa" w:w="4500"/>
          </w:tcPr>
          <w:p>
            <w:pPr>
              <w:jc w:val="right"/>
            </w:pPr>
            <w:r>
              <w:t>2</w:t>
            </w:r>
          </w:p>
        </w:tc>
      </w:tr>
      <w:tr>
        <w:tc>
          <w:tcPr>
            <w:tcW w:type="dxa" w:w="4500"/>
          </w:tcPr>
          <w:p>
            <w:r>
              <w:t>2  LITERATURE REVIEW</w:t>
            </w:r>
          </w:p>
        </w:tc>
        <w:tc>
          <w:tcPr>
            <w:tcW w:type="dxa" w:w="4500"/>
          </w:tcPr>
          <w:p>
            <w:pPr>
              <w:jc w:val="right"/>
            </w:pPr>
            <w:r>
              <w:t>3</w:t>
            </w:r>
          </w:p>
        </w:tc>
      </w:tr>
      <w:tr>
        <w:tc>
          <w:tcPr>
            <w:tcW w:type="dxa" w:w="4500"/>
          </w:tcPr>
          <w:p>
            <w:r>
              <w:t xml:space="preserve">   2.1  CNN-Based Classification</w:t>
            </w:r>
          </w:p>
        </w:tc>
        <w:tc>
          <w:tcPr>
            <w:tcW w:type="dxa" w:w="4500"/>
          </w:tcPr>
          <w:p>
            <w:pPr>
              <w:jc w:val="right"/>
            </w:pPr>
            <w:r>
              <w:t>3</w:t>
            </w:r>
          </w:p>
        </w:tc>
      </w:tr>
      <w:tr>
        <w:tc>
          <w:tcPr>
            <w:tcW w:type="dxa" w:w="4500"/>
          </w:tcPr>
          <w:p>
            <w:r>
              <w:t xml:space="preserve">   2.2  Transfer Learning</w:t>
            </w:r>
          </w:p>
        </w:tc>
        <w:tc>
          <w:tcPr>
            <w:tcW w:type="dxa" w:w="4500"/>
          </w:tcPr>
          <w:p>
            <w:pPr>
              <w:jc w:val="right"/>
            </w:pPr>
            <w:r>
              <w:t>4</w:t>
            </w:r>
          </w:p>
        </w:tc>
      </w:tr>
      <w:tr>
        <w:tc>
          <w:tcPr>
            <w:tcW w:type="dxa" w:w="4500"/>
          </w:tcPr>
          <w:p>
            <w:r>
              <w:t xml:space="preserve">   2.3  Colorimetric Methods</w:t>
            </w:r>
          </w:p>
        </w:tc>
        <w:tc>
          <w:tcPr>
            <w:tcW w:type="dxa" w:w="4500"/>
          </w:tcPr>
          <w:p>
            <w:pPr>
              <w:jc w:val="right"/>
            </w:pPr>
            <w:r>
              <w:t>5</w:t>
            </w:r>
          </w:p>
        </w:tc>
      </w:tr>
      <w:tr>
        <w:tc>
          <w:tcPr>
            <w:tcW w:type="dxa" w:w="4500"/>
          </w:tcPr>
          <w:p>
            <w:r>
              <w:t>3  SYSTEM ARCHITECTURE</w:t>
            </w:r>
          </w:p>
        </w:tc>
        <w:tc>
          <w:tcPr>
            <w:tcW w:type="dxa" w:w="4500"/>
          </w:tcPr>
          <w:p>
            <w:pPr>
              <w:jc w:val="right"/>
            </w:pPr>
            <w:r>
              <w:t>6</w:t>
            </w:r>
          </w:p>
        </w:tc>
      </w:tr>
      <w:tr>
        <w:tc>
          <w:tcPr>
            <w:tcW w:type="dxa" w:w="4500"/>
          </w:tcPr>
          <w:p>
            <w:r>
              <w:t xml:space="preserve">   3.1  Overall Pipeline</w:t>
            </w:r>
          </w:p>
        </w:tc>
        <w:tc>
          <w:tcPr>
            <w:tcW w:type="dxa" w:w="4500"/>
          </w:tcPr>
          <w:p>
            <w:pPr>
              <w:jc w:val="right"/>
            </w:pPr>
            <w:r>
              <w:t>6</w:t>
            </w:r>
          </w:p>
        </w:tc>
      </w:tr>
      <w:tr>
        <w:tc>
          <w:tcPr>
            <w:tcW w:type="dxa" w:w="4500"/>
          </w:tcPr>
          <w:p>
            <w:r>
              <w:t xml:space="preserve">   3.2  MobileNetV2 Classifier</w:t>
            </w:r>
          </w:p>
        </w:tc>
        <w:tc>
          <w:tcPr>
            <w:tcW w:type="dxa" w:w="4500"/>
          </w:tcPr>
          <w:p>
            <w:pPr>
              <w:jc w:val="right"/>
            </w:pPr>
            <w:r>
              <w:t>7</w:t>
            </w:r>
          </w:p>
        </w:tc>
      </w:tr>
      <w:tr>
        <w:tc>
          <w:tcPr>
            <w:tcW w:type="dxa" w:w="4500"/>
          </w:tcPr>
          <w:p>
            <w:r>
              <w:t xml:space="preserve">   3.3  Colorimetric Engine</w:t>
            </w:r>
          </w:p>
        </w:tc>
        <w:tc>
          <w:tcPr>
            <w:tcW w:type="dxa" w:w="4500"/>
          </w:tcPr>
          <w:p>
            <w:pPr>
              <w:jc w:val="right"/>
            </w:pPr>
            <w:r>
              <w:t>8</w:t>
            </w:r>
          </w:p>
        </w:tc>
      </w:tr>
      <w:tr>
        <w:tc>
          <w:tcPr>
            <w:tcW w:type="dxa" w:w="4500"/>
          </w:tcPr>
          <w:p>
            <w:r>
              <w:t xml:space="preserve">   3.4  SE-CNN Regression</w:t>
            </w:r>
          </w:p>
        </w:tc>
        <w:tc>
          <w:tcPr>
            <w:tcW w:type="dxa" w:w="4500"/>
          </w:tcPr>
          <w:p>
            <w:pPr>
              <w:jc w:val="right"/>
            </w:pPr>
            <w:r>
              <w:t>9</w:t>
            </w:r>
          </w:p>
        </w:tc>
      </w:tr>
      <w:tr>
        <w:tc>
          <w:tcPr>
            <w:tcW w:type="dxa" w:w="4500"/>
          </w:tcPr>
          <w:p>
            <w:r>
              <w:t>4  METHODOLOGY</w:t>
            </w:r>
          </w:p>
        </w:tc>
        <w:tc>
          <w:tcPr>
            <w:tcW w:type="dxa" w:w="4500"/>
          </w:tcPr>
          <w:p>
            <w:pPr>
              <w:jc w:val="right"/>
            </w:pPr>
            <w:r>
              <w:t>10</w:t>
            </w:r>
          </w:p>
        </w:tc>
      </w:tr>
      <w:tr>
        <w:tc>
          <w:tcPr>
            <w:tcW w:type="dxa" w:w="4500"/>
          </w:tcPr>
          <w:p>
            <w:r>
              <w:t xml:space="preserve">   4.1  Dataset Preparation</w:t>
            </w:r>
          </w:p>
        </w:tc>
        <w:tc>
          <w:tcPr>
            <w:tcW w:type="dxa" w:w="4500"/>
          </w:tcPr>
          <w:p>
            <w:pPr>
              <w:jc w:val="right"/>
            </w:pPr>
            <w:r>
              <w:t>10</w:t>
            </w:r>
          </w:p>
        </w:tc>
      </w:tr>
      <w:tr>
        <w:tc>
          <w:tcPr>
            <w:tcW w:type="dxa" w:w="4500"/>
          </w:tcPr>
          <w:p>
            <w:r>
              <w:t xml:space="preserve">   4.2  Training Strategy</w:t>
            </w:r>
          </w:p>
        </w:tc>
        <w:tc>
          <w:tcPr>
            <w:tcW w:type="dxa" w:w="4500"/>
          </w:tcPr>
          <w:p>
            <w:pPr>
              <w:jc w:val="right"/>
            </w:pPr>
            <w:r>
              <w:t>11</w:t>
            </w:r>
          </w:p>
        </w:tc>
      </w:tr>
      <w:tr>
        <w:tc>
          <w:tcPr>
            <w:tcW w:type="dxa" w:w="4500"/>
          </w:tcPr>
          <w:p>
            <w:r>
              <w:t xml:space="preserve">   4.3  Evaluation Protocol</w:t>
            </w:r>
          </w:p>
        </w:tc>
        <w:tc>
          <w:tcPr>
            <w:tcW w:type="dxa" w:w="4500"/>
          </w:tcPr>
          <w:p>
            <w:pPr>
              <w:jc w:val="right"/>
            </w:pPr>
            <w:r>
              <w:t>12</w:t>
            </w:r>
          </w:p>
        </w:tc>
      </w:tr>
      <w:tr>
        <w:tc>
          <w:tcPr>
            <w:tcW w:type="dxa" w:w="4500"/>
          </w:tcPr>
          <w:p>
            <w:r>
              <w:t>5  CODING AND TESTING</w:t>
            </w:r>
          </w:p>
        </w:tc>
        <w:tc>
          <w:tcPr>
            <w:tcW w:type="dxa" w:w="4500"/>
          </w:tcPr>
          <w:p>
            <w:pPr>
              <w:jc w:val="right"/>
            </w:pPr>
            <w:r>
              <w:t>13</w:t>
            </w:r>
          </w:p>
        </w:tc>
      </w:tr>
      <w:tr>
        <w:tc>
          <w:tcPr>
            <w:tcW w:type="dxa" w:w="4500"/>
          </w:tcPr>
          <w:p>
            <w:r>
              <w:t xml:space="preserve">   5.1  Backend</w:t>
            </w:r>
          </w:p>
        </w:tc>
        <w:tc>
          <w:tcPr>
            <w:tcW w:type="dxa" w:w="4500"/>
          </w:tcPr>
          <w:p>
            <w:pPr>
              <w:jc w:val="right"/>
            </w:pPr>
            <w:r>
              <w:t>13</w:t>
            </w:r>
          </w:p>
        </w:tc>
      </w:tr>
      <w:tr>
        <w:tc>
          <w:tcPr>
            <w:tcW w:type="dxa" w:w="4500"/>
          </w:tcPr>
          <w:p>
            <w:r>
              <w:t xml:space="preserve">   5.2  Frontend</w:t>
            </w:r>
          </w:p>
        </w:tc>
        <w:tc>
          <w:tcPr>
            <w:tcW w:type="dxa" w:w="4500"/>
          </w:tcPr>
          <w:p>
            <w:pPr>
              <w:jc w:val="right"/>
            </w:pPr>
            <w:r>
              <w:t>14</w:t>
            </w:r>
          </w:p>
        </w:tc>
      </w:tr>
      <w:tr>
        <w:tc>
          <w:tcPr>
            <w:tcW w:type="dxa" w:w="4500"/>
          </w:tcPr>
          <w:p>
            <w:r>
              <w:t>6  RESULTS AND OBSERVATIONS</w:t>
            </w:r>
          </w:p>
        </w:tc>
        <w:tc>
          <w:tcPr>
            <w:tcW w:type="dxa" w:w="4500"/>
          </w:tcPr>
          <w:p>
            <w:pPr>
              <w:jc w:val="right"/>
            </w:pPr>
            <w:r>
              <w:t>15</w:t>
            </w:r>
          </w:p>
        </w:tc>
      </w:tr>
      <w:tr>
        <w:tc>
          <w:tcPr>
            <w:tcW w:type="dxa" w:w="4500"/>
          </w:tcPr>
          <w:p>
            <w:r>
              <w:t xml:space="preserve">   6.1  Overall Metrics</w:t>
            </w:r>
          </w:p>
        </w:tc>
        <w:tc>
          <w:tcPr>
            <w:tcW w:type="dxa" w:w="4500"/>
          </w:tcPr>
          <w:p>
            <w:pPr>
              <w:jc w:val="right"/>
            </w:pPr>
            <w:r>
              <w:t>15</w:t>
            </w:r>
          </w:p>
        </w:tc>
      </w:tr>
      <w:tr>
        <w:tc>
          <w:tcPr>
            <w:tcW w:type="dxa" w:w="4500"/>
          </w:tcPr>
          <w:p>
            <w:r>
              <w:t xml:space="preserve">   6.2  Per-Class Analysis</w:t>
            </w:r>
          </w:p>
        </w:tc>
        <w:tc>
          <w:tcPr>
            <w:tcW w:type="dxa" w:w="4500"/>
          </w:tcPr>
          <w:p>
            <w:pPr>
              <w:jc w:val="right"/>
            </w:pPr>
            <w:r>
              <w:t>16</w:t>
            </w:r>
          </w:p>
        </w:tc>
      </w:tr>
      <w:tr>
        <w:tc>
          <w:tcPr>
            <w:tcW w:type="dxa" w:w="4500"/>
          </w:tcPr>
          <w:p>
            <w:r>
              <w:t xml:space="preserve">   6.3  Confusion Matrix</w:t>
            </w:r>
          </w:p>
        </w:tc>
        <w:tc>
          <w:tcPr>
            <w:tcW w:type="dxa" w:w="4500"/>
          </w:tcPr>
          <w:p>
            <w:pPr>
              <w:jc w:val="right"/>
            </w:pPr>
            <w:r>
              <w:t>17</w:t>
            </w:r>
          </w:p>
        </w:tc>
      </w:tr>
      <w:tr>
        <w:tc>
          <w:tcPr>
            <w:tcW w:type="dxa" w:w="4500"/>
          </w:tcPr>
          <w:p>
            <w:r>
              <w:t>7  CONCLUSION</w:t>
            </w:r>
          </w:p>
        </w:tc>
        <w:tc>
          <w:tcPr>
            <w:tcW w:type="dxa" w:w="4500"/>
          </w:tcPr>
          <w:p>
            <w:pPr>
              <w:jc w:val="right"/>
            </w:pPr>
            <w:r>
              <w:t>18</w:t>
            </w:r>
          </w:p>
        </w:tc>
      </w:tr>
      <w:tr>
        <w:tc>
          <w:tcPr>
            <w:tcW w:type="dxa" w:w="4500"/>
          </w:tcPr>
          <w:p>
            <w:r>
              <w:t>REFERENCES</w:t>
            </w:r>
          </w:p>
        </w:tc>
        <w:tc>
          <w:tcPr>
            <w:tcW w:type="dxa" w:w="4500"/>
          </w:tcPr>
          <w:p>
            <w:pPr>
              <w:jc w:val="right"/>
            </w:pPr>
            <w:r>
              <w:t>19</w:t>
            </w:r>
          </w:p>
        </w:tc>
      </w:tr>
    </w:tbl>
    <w:p>
      <w:r>
        <w:br w:type="page"/>
      </w:r>
    </w:p>
    <w:p>
      <w:pPr>
        <w:pStyle w:val="Heading1"/>
      </w:pPr>
      <w:r>
        <w:t>CHAPTER 1</w:t>
      </w:r>
    </w:p>
    <w:p>
      <w:pPr>
        <w:pStyle w:val="Heading3"/>
      </w:pPr>
      <w:r>
        <w:t>INTRODUCTION</w:t>
      </w:r>
    </w:p>
    <w:p>
      <w:pPr>
        <w:pStyle w:val="Heading2"/>
      </w:pPr>
      <w:r>
        <w:t>1.1  Background and Motivation</w:t>
      </w:r>
    </w:p>
    <w:p>
      <w:pPr>
        <w:pStyle w:val="BodyText"/>
      </w:pPr>
      <w:r>
        <w:t>Post-harvest food loss is a globally recognised challenge. The FAO estimates 1.3 billion tonnes of food wasted annually, with fruit accounting for the highest proportional losses. Traditional manual inspection is subjective, inconsistent, and cannot scale to modern supply-chain volumes. FruitSense was developed to provide an objective, automated, photograph-based quality assessment system deployable without specialist hardware or expertise.</w:t>
      </w:r>
    </w:p>
    <w:p>
      <w:pPr>
        <w:pStyle w:val="Heading2"/>
      </w:pPr>
      <w:r>
        <w:t>1.2  Problem Statement</w:t>
      </w:r>
    </w:p>
    <w:p>
      <w:pPr>
        <w:pStyle w:val="BodyText"/>
      </w:pPr>
      <w:r>
        <w:t>Existing deep learning fruit classifiers target binary fresh/rotten decisions on clean benchmark images. They lack: (a) multi-species, multi-state classification in a single model; (b) continuous quality scoring grounded in food science; and (c) end-to-end system integration accessible to non-specialist operators.</w:t>
      </w:r>
    </w:p>
    <w:p>
      <w:pPr>
        <w:pStyle w:val="Heading2"/>
      </w:pPr>
      <w:r>
        <w:t>1.3  Objectives</w:t>
      </w:r>
    </w:p>
    <w:p>
      <w:pPr>
        <w:pStyle w:val="ListBullet"/>
      </w:pPr>
      <w:r>
        <w:t>Train a MobileNetV2 six-class classifier achieving ≥89.15% cross-dataset accuracy.</w:t>
      </w:r>
    </w:p>
    <w:p>
      <w:pPr>
        <w:pStyle w:val="ListBullet"/>
      </w:pPr>
      <w:r>
        <w:t>Build a CIE L*a*b* colorimetric engine producing a continuous freshness score (0–100).</w:t>
      </w:r>
    </w:p>
    <w:p>
      <w:pPr>
        <w:pStyle w:val="ListBullet"/>
      </w:pPr>
      <w:r>
        <w:t>Integrate an SE-CNN regressor for hardness and weight-loss estimation.</w:t>
      </w:r>
    </w:p>
    <w:p>
      <w:pPr>
        <w:pStyle w:val="ListBullet"/>
      </w:pPr>
      <w:r>
        <w:t>Deploy as a FastAPI + React web application for sub-second real-time inference.</w:t>
      </w:r>
    </w:p>
    <w:p>
      <w:r>
        <w:br w:type="page"/>
      </w:r>
    </w:p>
    <w:p>
      <w:pPr>
        <w:pStyle w:val="Heading1"/>
      </w:pPr>
      <w:r>
        <w:t>CHAPTER 2</w:t>
      </w:r>
    </w:p>
    <w:p>
      <w:pPr>
        <w:pStyle w:val="Heading3"/>
      </w:pPr>
      <w:r>
        <w:t>LITERATURE REVIEW</w:t>
      </w:r>
    </w:p>
    <w:p>
      <w:pPr>
        <w:pStyle w:val="Heading2"/>
      </w:pPr>
      <w:r>
        <w:t>2.1  CNN-Based Fruit Classification</w:t>
      </w:r>
    </w:p>
    <w:p>
      <w:pPr>
        <w:pStyle w:val="BodyText"/>
      </w:pPr>
      <w:r>
        <w:t>Mureşan and Oltean (2018) introduced the Fruits-360 dataset and demonstrated 99.48% accuracy on studio images with a lightweight CNN [1]. However, these results do not generalise to diverse imaging conditions. Thenmozhi and Srinivasulu (2021) applied VGG-16 to a six-class rotten fruit dataset and reported 94.2% validation accuracy, with degraded performance on images from varied backgrounds — motivating the use of aggressive training augmentation in FruitSense [2].</w:t>
      </w:r>
    </w:p>
    <w:p>
      <w:pPr>
        <w:pStyle w:val="Heading2"/>
      </w:pPr>
      <w:r>
        <w:t>2.2  Transfer Learning</w:t>
      </w:r>
    </w:p>
    <w:p>
      <w:pPr>
        <w:pStyle w:val="BodyText"/>
      </w:pPr>
      <w:r>
        <w:t>Kamilaris and Prenafeta-Boldú (2018) surveyed 40+ deep learning agricultural papers and found that transfer learning reduced data requirements by 40–60% while matching or exceeding scratch-trained performance [3]. MobileNetV2 (Sandler et al., 2018) achieves competitive accuracy with only 3.4M parameters and &lt;100ms CPU inference, making it ideal for deployment without GPU infrastructure [4]. Atila et al. (2021) confirmed MobileNetV2 as the best accuracy-to-latency backbone across multiple agricultural datasets [5].</w:t>
      </w:r>
    </w:p>
    <w:p>
      <w:pPr>
        <w:pStyle w:val="Heading2"/>
      </w:pPr>
      <w:r>
        <w:t>2.3  Colorimetric Methods</w:t>
      </w:r>
    </w:p>
    <w:p>
      <w:pPr>
        <w:pStyle w:val="BodyText"/>
      </w:pPr>
      <w:r>
        <w:t>CIE L*a*b* analysis has been established as a reliable proxy for fruit freshness: L* decreases with decay-induced darkening; C* diminishes as pigments degrade; H° shifts toward the 40–65° Maillard browning zone [6]. Cheng et al. (2019) demonstrated 91% accuracy for apple freshness using L*a*b* features and SVMs, without deep learning [7]. FruitSense builds on this by embedding colorimetric components as explicit, interpretable scoring factors alongside the CNN classifier.</w:t>
      </w:r>
    </w:p>
    <w:p>
      <w:pPr>
        <w:jc w:val="center"/>
      </w:pPr>
      <w:r>
        <w:rPr>
          <w:b/>
          <w:sz w:val="20"/>
        </w:rPr>
        <w:t>Table 2.1: Comparison of Fruit Classification Systems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1B3A6B"/>
          </w:tcPr>
          <w:p>
            <w:pPr>
              <w:jc w:val="center"/>
            </w:pPr>
            <w:r>
              <w:rPr>
                <w:b/>
                <w:color w:val="FFFFFF"/>
              </w:rPr>
              <w:t>Study</w:t>
            </w:r>
          </w:p>
        </w:tc>
        <w:tc>
          <w:tcPr>
            <w:tcW w:type="dxa" w:w="1800"/>
            <w:shd w:val="clear" w:color="auto" w:fill="1B3A6B"/>
          </w:tcPr>
          <w:p>
            <w:pPr>
              <w:jc w:val="center"/>
            </w:pPr>
            <w:r>
              <w:rPr>
                <w:b/>
                <w:color w:val="FFFFFF"/>
              </w:rPr>
              <w:t>Model</w:t>
            </w:r>
          </w:p>
        </w:tc>
        <w:tc>
          <w:tcPr>
            <w:tcW w:type="dxa" w:w="1800"/>
            <w:shd w:val="clear" w:color="auto" w:fill="1B3A6B"/>
          </w:tcPr>
          <w:p>
            <w:pPr>
              <w:jc w:val="center"/>
            </w:pPr>
            <w:r>
              <w:rPr>
                <w:b/>
                <w:color w:val="FFFFFF"/>
              </w:rPr>
              <w:t>Classes</w:t>
            </w:r>
          </w:p>
        </w:tc>
        <w:tc>
          <w:tcPr>
            <w:tcW w:type="dxa" w:w="1800"/>
            <w:shd w:val="clear" w:color="auto" w:fill="1B3A6B"/>
          </w:tcPr>
          <w:p>
            <w:pPr>
              <w:jc w:val="center"/>
            </w:pPr>
            <w:r>
              <w:rPr>
                <w:b/>
                <w:color w:val="FFFFFF"/>
              </w:rPr>
              <w:t>Accuracy</w:t>
            </w:r>
          </w:p>
        </w:tc>
        <w:tc>
          <w:tcPr>
            <w:tcW w:type="dxa" w:w="1800"/>
            <w:shd w:val="clear" w:color="auto" w:fill="1B3A6B"/>
          </w:tcPr>
          <w:p>
            <w:pPr>
              <w:jc w:val="center"/>
            </w:pPr>
            <w:r>
              <w:rPr>
                <w:b/>
                <w:color w:val="FFFFFF"/>
              </w:rPr>
              <w:t>Cross-Dataset?</w:t>
            </w:r>
          </w:p>
        </w:tc>
      </w:tr>
      <w:tr>
        <w:tc>
          <w:tcPr>
            <w:tcW w:type="dxa" w:w="1800"/>
          </w:tcPr>
          <w:p>
            <w:pPr>
              <w:jc w:val="left"/>
            </w:pPr>
            <w:r>
              <w:t>Mureşan &amp; Oltean (2018)</w:t>
            </w:r>
          </w:p>
        </w:tc>
        <w:tc>
          <w:tcPr>
            <w:tcW w:type="dxa" w:w="1800"/>
          </w:tcPr>
          <w:p>
            <w:pPr>
              <w:jc w:val="center"/>
            </w:pPr>
            <w:r>
              <w:t>Custom CNN</w:t>
            </w:r>
          </w:p>
        </w:tc>
        <w:tc>
          <w:tcPr>
            <w:tcW w:type="dxa" w:w="1800"/>
          </w:tcPr>
          <w:p>
            <w:pPr>
              <w:jc w:val="center"/>
            </w:pPr>
            <w:r>
              <w:t>131</w:t>
            </w:r>
          </w:p>
        </w:tc>
        <w:tc>
          <w:tcPr>
            <w:tcW w:type="dxa" w:w="1800"/>
          </w:tcPr>
          <w:p>
            <w:pPr>
              <w:jc w:val="center"/>
            </w:pPr>
            <w:r>
              <w:t>99.48%</w:t>
            </w:r>
          </w:p>
        </w:tc>
        <w:tc>
          <w:tcPr>
            <w:tcW w:type="dxa" w:w="1800"/>
          </w:tcPr>
          <w:p>
            <w:pPr>
              <w:jc w:val="center"/>
            </w:pPr>
            <w:r>
              <w:t>No</w:t>
            </w:r>
          </w:p>
        </w:tc>
      </w:tr>
      <w:tr>
        <w:tc>
          <w:tcPr>
            <w:tcW w:type="dxa" w:w="1800"/>
            <w:shd w:val="clear" w:color="auto" w:fill="EEF2FF"/>
          </w:tcPr>
          <w:p>
            <w:pPr>
              <w:jc w:val="left"/>
            </w:pPr>
            <w:r>
              <w:t>Thenmozhi et al. (2021)</w:t>
            </w:r>
          </w:p>
        </w:tc>
        <w:tc>
          <w:tcPr>
            <w:tcW w:type="dxa" w:w="1800"/>
            <w:shd w:val="clear" w:color="auto" w:fill="EEF2FF"/>
          </w:tcPr>
          <w:p>
            <w:pPr>
              <w:jc w:val="center"/>
            </w:pPr>
            <w:r>
              <w:t>VGG-16</w:t>
            </w:r>
          </w:p>
        </w:tc>
        <w:tc>
          <w:tcPr>
            <w:tcW w:type="dxa" w:w="1800"/>
            <w:shd w:val="clear" w:color="auto" w:fill="EEF2FF"/>
          </w:tcPr>
          <w:p>
            <w:pPr>
              <w:jc w:val="center"/>
            </w:pPr>
            <w:r>
              <w:t>6</w:t>
            </w:r>
          </w:p>
        </w:tc>
        <w:tc>
          <w:tcPr>
            <w:tcW w:type="dxa" w:w="1800"/>
            <w:shd w:val="clear" w:color="auto" w:fill="EEF2FF"/>
          </w:tcPr>
          <w:p>
            <w:pPr>
              <w:jc w:val="center"/>
            </w:pPr>
            <w:r>
              <w:t>94.2%</w:t>
            </w:r>
          </w:p>
        </w:tc>
        <w:tc>
          <w:tcPr>
            <w:tcW w:type="dxa" w:w="1800"/>
            <w:shd w:val="clear" w:color="auto" w:fill="EEF2FF"/>
          </w:tcPr>
          <w:p>
            <w:pPr>
              <w:jc w:val="center"/>
            </w:pPr>
            <w:r>
              <w:t>Partial</w:t>
            </w:r>
          </w:p>
        </w:tc>
      </w:tr>
      <w:tr>
        <w:tc>
          <w:tcPr>
            <w:tcW w:type="dxa" w:w="1800"/>
          </w:tcPr>
          <w:p>
            <w:pPr>
              <w:jc w:val="left"/>
            </w:pPr>
            <w:r>
              <w:t>Atila et al. (2021)</w:t>
            </w:r>
          </w:p>
        </w:tc>
        <w:tc>
          <w:tcPr>
            <w:tcW w:type="dxa" w:w="1800"/>
          </w:tcPr>
          <w:p>
            <w:pPr>
              <w:jc w:val="center"/>
            </w:pPr>
            <w:r>
              <w:t>MobileNetV2</w:t>
            </w:r>
          </w:p>
        </w:tc>
        <w:tc>
          <w:tcPr>
            <w:tcW w:type="dxa" w:w="1800"/>
          </w:tcPr>
          <w:p>
            <w:pPr>
              <w:jc w:val="center"/>
            </w:pPr>
            <w:r>
              <w:t>38</w:t>
            </w:r>
          </w:p>
        </w:tc>
        <w:tc>
          <w:tcPr>
            <w:tcW w:type="dxa" w:w="1800"/>
          </w:tcPr>
          <w:p>
            <w:pPr>
              <w:jc w:val="center"/>
            </w:pPr>
            <w:r>
              <w:t>98.7%</w:t>
            </w:r>
          </w:p>
        </w:tc>
        <w:tc>
          <w:tcPr>
            <w:tcW w:type="dxa" w:w="1800"/>
          </w:tcPr>
          <w:p>
            <w:pPr>
              <w:jc w:val="center"/>
            </w:pPr>
            <w:r>
              <w:t>No</w:t>
            </w:r>
          </w:p>
        </w:tc>
      </w:tr>
      <w:tr>
        <w:tc>
          <w:tcPr>
            <w:tcW w:type="dxa" w:w="1800"/>
            <w:shd w:val="clear" w:color="auto" w:fill="EEF2FF"/>
          </w:tcPr>
          <w:p>
            <w:pPr>
              <w:jc w:val="left"/>
            </w:pPr>
            <w:r>
              <w:t>FruitSense (This work)</w:t>
            </w:r>
          </w:p>
        </w:tc>
        <w:tc>
          <w:tcPr>
            <w:tcW w:type="dxa" w:w="1800"/>
            <w:shd w:val="clear" w:color="auto" w:fill="EEF2FF"/>
          </w:tcPr>
          <w:p>
            <w:pPr>
              <w:jc w:val="center"/>
            </w:pPr>
            <w:r>
              <w:t>MobileNetV2</w:t>
            </w:r>
          </w:p>
        </w:tc>
        <w:tc>
          <w:tcPr>
            <w:tcW w:type="dxa" w:w="1800"/>
            <w:shd w:val="clear" w:color="auto" w:fill="EEF2FF"/>
          </w:tcPr>
          <w:p>
            <w:pPr>
              <w:jc w:val="center"/>
            </w:pPr>
            <w:r>
              <w:t>6</w:t>
            </w:r>
          </w:p>
        </w:tc>
        <w:tc>
          <w:tcPr>
            <w:tcW w:type="dxa" w:w="1800"/>
            <w:shd w:val="clear" w:color="auto" w:fill="EEF2FF"/>
          </w:tcPr>
          <w:p>
            <w:pPr>
              <w:jc w:val="center"/>
            </w:pPr>
            <w:r>
              <w:t>89.15%</w:t>
            </w:r>
          </w:p>
        </w:tc>
        <w:tc>
          <w:tcPr>
            <w:tcW w:type="dxa" w:w="1800"/>
            <w:shd w:val="clear" w:color="auto" w:fill="EEF2FF"/>
          </w:tcPr>
          <w:p>
            <w:pPr>
              <w:jc w:val="center"/>
            </w:pPr>
            <w:r>
              <w:t>Yes</w:t>
            </w:r>
          </w:p>
        </w:tc>
      </w:tr>
    </w:tbl>
    <w:p/>
    <w:p>
      <w:r>
        <w:br w:type="page"/>
      </w:r>
    </w:p>
    <w:p>
      <w:pPr>
        <w:pStyle w:val="Heading1"/>
      </w:pPr>
      <w:r>
        <w:t>CHAPTER 3</w:t>
      </w:r>
    </w:p>
    <w:p>
      <w:pPr>
        <w:pStyle w:val="Heading3"/>
      </w:pPr>
      <w:r>
        <w:t>SYSTEM ARCHITECTURE AND DESIGN</w:t>
      </w:r>
    </w:p>
    <w:p>
      <w:pPr>
        <w:pStyle w:val="Heading2"/>
      </w:pPr>
      <w:r>
        <w:t>3.1  Overall Pipeline</w:t>
      </w:r>
    </w:p>
    <w:p>
      <w:pPr>
        <w:pStyle w:val="BodyText"/>
      </w:pPr>
      <w:r>
        <w:t>FruitSense follows a client–server architecture. The React + Vite SPA (port 5173) communicates with the FastAPI/Uvicorn backend (port 8000) over HTTP. The server-side pipeline: (1) Image reception and decoding; (2) CIE L*a*b* feature extraction (scikit-image); (3) MobileNetV2 six-class classification; (4) SE-CNN quality-parameter regression; (5) Colorimetric score fusion; (6) JSON response construction.</w:t>
      </w:r>
    </w:p>
    <w:p>
      <w:pPr>
        <w:pStyle w:val="Heading2"/>
      </w:pPr>
      <w:r>
        <w:t>3.2  MobileNetV2 Classifier</w:t>
      </w:r>
    </w:p>
    <w:p>
      <w:pPr>
        <w:jc w:val="center"/>
      </w:pPr>
      <w:r>
        <w:rPr>
          <w:b/>
          <w:sz w:val="20"/>
        </w:rPr>
        <w:t>Table 3.1: Custom Classification Head Architecture</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1B3A6B"/>
          </w:tcPr>
          <w:p>
            <w:pPr>
              <w:jc w:val="center"/>
            </w:pPr>
            <w:r>
              <w:rPr>
                <w:b/>
                <w:color w:val="FFFFFF"/>
              </w:rPr>
              <w:t>Layer</w:t>
            </w:r>
          </w:p>
        </w:tc>
        <w:tc>
          <w:tcPr>
            <w:tcW w:type="dxa" w:w="3000"/>
            <w:shd w:val="clear" w:color="auto" w:fill="1B3A6B"/>
          </w:tcPr>
          <w:p>
            <w:pPr>
              <w:jc w:val="center"/>
            </w:pPr>
            <w:r>
              <w:rPr>
                <w:b/>
                <w:color w:val="FFFFFF"/>
              </w:rPr>
              <w:t>Output Shape</w:t>
            </w:r>
          </w:p>
        </w:tc>
        <w:tc>
          <w:tcPr>
            <w:tcW w:type="dxa" w:w="3000"/>
            <w:shd w:val="clear" w:color="auto" w:fill="1B3A6B"/>
          </w:tcPr>
          <w:p>
            <w:pPr>
              <w:jc w:val="center"/>
            </w:pPr>
            <w:r>
              <w:rPr>
                <w:b/>
                <w:color w:val="FFFFFF"/>
              </w:rPr>
              <w:t>Parameters</w:t>
            </w:r>
          </w:p>
        </w:tc>
      </w:tr>
      <w:tr>
        <w:tc>
          <w:tcPr>
            <w:tcW w:type="dxa" w:w="3000"/>
          </w:tcPr>
          <w:p>
            <w:pPr>
              <w:jc w:val="left"/>
            </w:pPr>
            <w:r>
              <w:t>MobileNetV2 base</w:t>
            </w:r>
          </w:p>
        </w:tc>
        <w:tc>
          <w:tcPr>
            <w:tcW w:type="dxa" w:w="3000"/>
          </w:tcPr>
          <w:p>
            <w:pPr>
              <w:jc w:val="center"/>
            </w:pPr>
            <w:r>
              <w:t>(None,7,7,1280)</w:t>
            </w:r>
          </w:p>
        </w:tc>
        <w:tc>
          <w:tcPr>
            <w:tcW w:type="dxa" w:w="3000"/>
          </w:tcPr>
          <w:p>
            <w:pPr>
              <w:jc w:val="center"/>
            </w:pPr>
            <w:r>
              <w:t>2,257,984</w:t>
            </w:r>
          </w:p>
        </w:tc>
      </w:tr>
      <w:tr>
        <w:tc>
          <w:tcPr>
            <w:tcW w:type="dxa" w:w="3000"/>
            <w:shd w:val="clear" w:color="auto" w:fill="EEF2FF"/>
          </w:tcPr>
          <w:p>
            <w:pPr>
              <w:jc w:val="left"/>
            </w:pPr>
            <w:r>
              <w:t>GlobalAveragePooling2D</w:t>
            </w:r>
          </w:p>
        </w:tc>
        <w:tc>
          <w:tcPr>
            <w:tcW w:type="dxa" w:w="3000"/>
            <w:shd w:val="clear" w:color="auto" w:fill="EEF2FF"/>
          </w:tcPr>
          <w:p>
            <w:pPr>
              <w:jc w:val="center"/>
            </w:pPr>
            <w:r>
              <w:t>(None,1280)</w:t>
            </w:r>
          </w:p>
        </w:tc>
        <w:tc>
          <w:tcPr>
            <w:tcW w:type="dxa" w:w="3000"/>
            <w:shd w:val="clear" w:color="auto" w:fill="EEF2FF"/>
          </w:tcPr>
          <w:p>
            <w:pPr>
              <w:jc w:val="center"/>
            </w:pPr>
            <w:r>
              <w:t>0</w:t>
            </w:r>
          </w:p>
        </w:tc>
      </w:tr>
      <w:tr>
        <w:tc>
          <w:tcPr>
            <w:tcW w:type="dxa" w:w="3000"/>
          </w:tcPr>
          <w:p>
            <w:pPr>
              <w:jc w:val="left"/>
            </w:pPr>
            <w:r>
              <w:t>BatchNormalization</w:t>
            </w:r>
          </w:p>
        </w:tc>
        <w:tc>
          <w:tcPr>
            <w:tcW w:type="dxa" w:w="3000"/>
          </w:tcPr>
          <w:p>
            <w:pPr>
              <w:jc w:val="center"/>
            </w:pPr>
            <w:r>
              <w:t>(None,1280)</w:t>
            </w:r>
          </w:p>
        </w:tc>
        <w:tc>
          <w:tcPr>
            <w:tcW w:type="dxa" w:w="3000"/>
          </w:tcPr>
          <w:p>
            <w:pPr>
              <w:jc w:val="center"/>
            </w:pPr>
            <w:r>
              <w:t>5,120</w:t>
            </w:r>
          </w:p>
        </w:tc>
      </w:tr>
      <w:tr>
        <w:tc>
          <w:tcPr>
            <w:tcW w:type="dxa" w:w="3000"/>
            <w:shd w:val="clear" w:color="auto" w:fill="EEF2FF"/>
          </w:tcPr>
          <w:p>
            <w:pPr>
              <w:jc w:val="left"/>
            </w:pPr>
            <w:r>
              <w:t>Dense(512, ReLU)</w:t>
            </w:r>
          </w:p>
        </w:tc>
        <w:tc>
          <w:tcPr>
            <w:tcW w:type="dxa" w:w="3000"/>
            <w:shd w:val="clear" w:color="auto" w:fill="EEF2FF"/>
          </w:tcPr>
          <w:p>
            <w:pPr>
              <w:jc w:val="center"/>
            </w:pPr>
            <w:r>
              <w:t>(None,512)</w:t>
            </w:r>
          </w:p>
        </w:tc>
        <w:tc>
          <w:tcPr>
            <w:tcW w:type="dxa" w:w="3000"/>
            <w:shd w:val="clear" w:color="auto" w:fill="EEF2FF"/>
          </w:tcPr>
          <w:p>
            <w:pPr>
              <w:jc w:val="center"/>
            </w:pPr>
            <w:r>
              <w:t>655,872</w:t>
            </w:r>
          </w:p>
        </w:tc>
      </w:tr>
      <w:tr>
        <w:tc>
          <w:tcPr>
            <w:tcW w:type="dxa" w:w="3000"/>
          </w:tcPr>
          <w:p>
            <w:pPr>
              <w:jc w:val="left"/>
            </w:pPr>
            <w:r>
              <w:t>Dropout(0.4)</w:t>
            </w:r>
          </w:p>
        </w:tc>
        <w:tc>
          <w:tcPr>
            <w:tcW w:type="dxa" w:w="3000"/>
          </w:tcPr>
          <w:p>
            <w:pPr>
              <w:jc w:val="center"/>
            </w:pPr>
            <w:r>
              <w:t>(None,512)</w:t>
            </w:r>
          </w:p>
        </w:tc>
        <w:tc>
          <w:tcPr>
            <w:tcW w:type="dxa" w:w="3000"/>
          </w:tcPr>
          <w:p>
            <w:pPr>
              <w:jc w:val="center"/>
            </w:pPr>
            <w:r>
              <w:t>0</w:t>
            </w:r>
          </w:p>
        </w:tc>
      </w:tr>
      <w:tr>
        <w:tc>
          <w:tcPr>
            <w:tcW w:type="dxa" w:w="3000"/>
            <w:shd w:val="clear" w:color="auto" w:fill="EEF2FF"/>
          </w:tcPr>
          <w:p>
            <w:pPr>
              <w:jc w:val="left"/>
            </w:pPr>
            <w:r>
              <w:t>Dense(256, ReLU)</w:t>
            </w:r>
          </w:p>
        </w:tc>
        <w:tc>
          <w:tcPr>
            <w:tcW w:type="dxa" w:w="3000"/>
            <w:shd w:val="clear" w:color="auto" w:fill="EEF2FF"/>
          </w:tcPr>
          <w:p>
            <w:pPr>
              <w:jc w:val="center"/>
            </w:pPr>
            <w:r>
              <w:t>(None,256)</w:t>
            </w:r>
          </w:p>
        </w:tc>
        <w:tc>
          <w:tcPr>
            <w:tcW w:type="dxa" w:w="3000"/>
            <w:shd w:val="clear" w:color="auto" w:fill="EEF2FF"/>
          </w:tcPr>
          <w:p>
            <w:pPr>
              <w:jc w:val="center"/>
            </w:pPr>
            <w:r>
              <w:t>131,328</w:t>
            </w:r>
          </w:p>
        </w:tc>
      </w:tr>
      <w:tr>
        <w:tc>
          <w:tcPr>
            <w:tcW w:type="dxa" w:w="3000"/>
          </w:tcPr>
          <w:p>
            <w:pPr>
              <w:jc w:val="left"/>
            </w:pPr>
            <w:r>
              <w:t>Dropout(0.3)</w:t>
            </w:r>
          </w:p>
        </w:tc>
        <w:tc>
          <w:tcPr>
            <w:tcW w:type="dxa" w:w="3000"/>
          </w:tcPr>
          <w:p>
            <w:pPr>
              <w:jc w:val="center"/>
            </w:pPr>
            <w:r>
              <w:t>(None,256)</w:t>
            </w:r>
          </w:p>
        </w:tc>
        <w:tc>
          <w:tcPr>
            <w:tcW w:type="dxa" w:w="3000"/>
          </w:tcPr>
          <w:p>
            <w:pPr>
              <w:jc w:val="center"/>
            </w:pPr>
            <w:r>
              <w:t>0</w:t>
            </w:r>
          </w:p>
        </w:tc>
      </w:tr>
      <w:tr>
        <w:tc>
          <w:tcPr>
            <w:tcW w:type="dxa" w:w="3000"/>
            <w:shd w:val="clear" w:color="auto" w:fill="EEF2FF"/>
          </w:tcPr>
          <w:p>
            <w:pPr>
              <w:jc w:val="left"/>
            </w:pPr>
            <w:r>
              <w:t>Dense(6, Softmax)</w:t>
            </w:r>
          </w:p>
        </w:tc>
        <w:tc>
          <w:tcPr>
            <w:tcW w:type="dxa" w:w="3000"/>
            <w:shd w:val="clear" w:color="auto" w:fill="EEF2FF"/>
          </w:tcPr>
          <w:p>
            <w:pPr>
              <w:jc w:val="center"/>
            </w:pPr>
            <w:r>
              <w:t>(None,6)</w:t>
            </w:r>
          </w:p>
        </w:tc>
        <w:tc>
          <w:tcPr>
            <w:tcW w:type="dxa" w:w="3000"/>
            <w:shd w:val="clear" w:color="auto" w:fill="EEF2FF"/>
          </w:tcPr>
          <w:p>
            <w:pPr>
              <w:jc w:val="center"/>
            </w:pPr>
            <w:r>
              <w:t>1,542</w:t>
            </w:r>
          </w:p>
        </w:tc>
      </w:tr>
    </w:tbl>
    <w:p/>
    <w:p>
      <w:pPr>
        <w:pStyle w:val="Heading2"/>
      </w:pPr>
      <w:r>
        <w:t>3.3  Colorimetric Scoring Engine</w:t>
      </w:r>
    </w:p>
    <w:p>
      <w:pPr>
        <w:pStyle w:val="BodyText"/>
      </w:pPr>
      <w:r>
        <w:t>S = S_L + S_C + S_b − P_H, where:</w:t>
        <w:br/>
        <w:t xml:space="preserve">  S_L = (L*/100)×35   [luminance, 0–35 pts]</w:t>
        <w:br/>
        <w:t xml:space="preserve">  S_C = min(30,(C*/60)×30)   [chroma, 0–30 pts]</w:t>
        <w:br/>
        <w:t xml:space="preserve">  S_b = min(25,max(0,(b*/30)×25))   [vibrancy, 0–25 pts]</w:t>
        <w:br/>
        <w:t xml:space="preserve">  P_H = max(0,1−|H°−52|/25)×max(0,1−C*/30)×10   [hue decay penalty, 0–10 pts]</w:t>
      </w:r>
    </w:p>
    <w:p>
      <w:pPr>
        <w:pStyle w:val="Heading2"/>
      </w:pPr>
      <w:r>
        <w:t>3.4  SE-CNN Regression</w:t>
      </w:r>
    </w:p>
    <w:p>
      <w:pPr>
        <w:pStyle w:val="BodyText"/>
      </w:pPr>
      <w:r>
        <w:t>Four SE-CNN blocks (filters: 32→64→128→256) with SE ratios r=8/16. Regression head predicts weight-loss %, hardness (N), and brittleness index. Used to validate and cross-check the colorimetric freshness score.</w:t>
      </w:r>
    </w:p>
    <w:p>
      <w:r>
        <w:br w:type="page"/>
      </w:r>
    </w:p>
    <w:p>
      <w:pPr>
        <w:pStyle w:val="Heading1"/>
      </w:pPr>
      <w:r>
        <w:t>CHAPTER 4</w:t>
      </w:r>
    </w:p>
    <w:p>
      <w:pPr>
        <w:pStyle w:val="Heading3"/>
      </w:pPr>
      <w:r>
        <w:t>METHODOLOGY</w:t>
      </w:r>
    </w:p>
    <w:p>
      <w:pPr>
        <w:pStyle w:val="Heading2"/>
      </w:pPr>
      <w:r>
        <w:t>4.1  Dataset Preparation</w:t>
      </w:r>
    </w:p>
    <w:p>
      <w:pPr>
        <w:jc w:val="center"/>
      </w:pPr>
      <w:r>
        <w:rPr>
          <w:b/>
          <w:sz w:val="20"/>
        </w:rPr>
        <w:t>Table 4.1: Merged Training Dataset Composition</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1B3A6B"/>
          </w:tcPr>
          <w:p>
            <w:pPr>
              <w:jc w:val="center"/>
            </w:pPr>
            <w:r>
              <w:rPr>
                <w:b/>
                <w:color w:val="FFFFFF"/>
              </w:rPr>
              <w:t>Class</w:t>
            </w:r>
          </w:p>
        </w:tc>
        <w:tc>
          <w:tcPr>
            <w:tcW w:type="dxa" w:w="1800"/>
            <w:shd w:val="clear" w:color="auto" w:fill="1B3A6B"/>
          </w:tcPr>
          <w:p>
            <w:pPr>
              <w:jc w:val="center"/>
            </w:pPr>
            <w:r>
              <w:rPr>
                <w:b/>
                <w:color w:val="FFFFFF"/>
              </w:rPr>
              <w:t>Source</w:t>
            </w:r>
          </w:p>
        </w:tc>
        <w:tc>
          <w:tcPr>
            <w:tcW w:type="dxa" w:w="1800"/>
            <w:shd w:val="clear" w:color="auto" w:fill="1B3A6B"/>
          </w:tcPr>
          <w:p>
            <w:pPr>
              <w:jc w:val="center"/>
            </w:pPr>
            <w:r>
              <w:rPr>
                <w:b/>
                <w:color w:val="FFFFFF"/>
              </w:rPr>
              <w:t>Train</w:t>
            </w:r>
          </w:p>
        </w:tc>
        <w:tc>
          <w:tcPr>
            <w:tcW w:type="dxa" w:w="1800"/>
            <w:shd w:val="clear" w:color="auto" w:fill="1B3A6B"/>
          </w:tcPr>
          <w:p>
            <w:pPr>
              <w:jc w:val="center"/>
            </w:pPr>
            <w:r>
              <w:rPr>
                <w:b/>
                <w:color w:val="FFFFFF"/>
              </w:rPr>
              <w:t>Val</w:t>
            </w:r>
          </w:p>
        </w:tc>
        <w:tc>
          <w:tcPr>
            <w:tcW w:type="dxa" w:w="1800"/>
            <w:shd w:val="clear" w:color="auto" w:fill="1B3A6B"/>
          </w:tcPr>
          <w:p>
            <w:pPr>
              <w:jc w:val="center"/>
            </w:pPr>
            <w:r>
              <w:rPr>
                <w:b/>
                <w:color w:val="FFFFFF"/>
              </w:rPr>
              <w:t>Total</w:t>
            </w:r>
          </w:p>
        </w:tc>
      </w:tr>
      <w:tr>
        <w:tc>
          <w:tcPr>
            <w:tcW w:type="dxa" w:w="1800"/>
          </w:tcPr>
          <w:p>
            <w:pPr>
              <w:jc w:val="left"/>
            </w:pPr>
            <w:r>
              <w:t>Apple</w:t>
            </w:r>
          </w:p>
        </w:tc>
        <w:tc>
          <w:tcPr>
            <w:tcW w:type="dxa" w:w="1800"/>
          </w:tcPr>
          <w:p>
            <w:pPr>
              <w:jc w:val="center"/>
            </w:pPr>
            <w:r>
              <w:t>Fruits-360</w:t>
            </w:r>
          </w:p>
        </w:tc>
        <w:tc>
          <w:tcPr>
            <w:tcW w:type="dxa" w:w="1800"/>
          </w:tcPr>
          <w:p>
            <w:pPr>
              <w:jc w:val="center"/>
            </w:pPr>
            <w:r>
              <w:t>2,740</w:t>
            </w:r>
          </w:p>
        </w:tc>
        <w:tc>
          <w:tcPr>
            <w:tcW w:type="dxa" w:w="1800"/>
          </w:tcPr>
          <w:p>
            <w:pPr>
              <w:jc w:val="center"/>
            </w:pPr>
            <w:r>
              <w:t>685</w:t>
            </w:r>
          </w:p>
        </w:tc>
        <w:tc>
          <w:tcPr>
            <w:tcW w:type="dxa" w:w="1800"/>
          </w:tcPr>
          <w:p>
            <w:pPr>
              <w:jc w:val="center"/>
            </w:pPr>
            <w:r>
              <w:t>3,425</w:t>
            </w:r>
          </w:p>
        </w:tc>
      </w:tr>
      <w:tr>
        <w:tc>
          <w:tcPr>
            <w:tcW w:type="dxa" w:w="1800"/>
            <w:shd w:val="clear" w:color="auto" w:fill="EEF2FF"/>
          </w:tcPr>
          <w:p>
            <w:pPr>
              <w:jc w:val="left"/>
            </w:pPr>
            <w:r>
              <w:t>Apple_Rotten</w:t>
            </w:r>
          </w:p>
        </w:tc>
        <w:tc>
          <w:tcPr>
            <w:tcW w:type="dxa" w:w="1800"/>
            <w:shd w:val="clear" w:color="auto" w:fill="EEF2FF"/>
          </w:tcPr>
          <w:p>
            <w:pPr>
              <w:jc w:val="center"/>
            </w:pPr>
            <w:r>
              <w:t>Rotten Fruits</w:t>
            </w:r>
          </w:p>
        </w:tc>
        <w:tc>
          <w:tcPr>
            <w:tcW w:type="dxa" w:w="1800"/>
            <w:shd w:val="clear" w:color="auto" w:fill="EEF2FF"/>
          </w:tcPr>
          <w:p>
            <w:pPr>
              <w:jc w:val="center"/>
            </w:pPr>
            <w:r>
              <w:t>275</w:t>
            </w:r>
          </w:p>
        </w:tc>
        <w:tc>
          <w:tcPr>
            <w:tcW w:type="dxa" w:w="1800"/>
            <w:shd w:val="clear" w:color="auto" w:fill="EEF2FF"/>
          </w:tcPr>
          <w:p>
            <w:pPr>
              <w:jc w:val="center"/>
            </w:pPr>
            <w:r>
              <w:t>69</w:t>
            </w:r>
          </w:p>
        </w:tc>
        <w:tc>
          <w:tcPr>
            <w:tcW w:type="dxa" w:w="1800"/>
            <w:shd w:val="clear" w:color="auto" w:fill="EEF2FF"/>
          </w:tcPr>
          <w:p>
            <w:pPr>
              <w:jc w:val="center"/>
            </w:pPr>
            <w:r>
              <w:t>344</w:t>
            </w:r>
          </w:p>
        </w:tc>
      </w:tr>
      <w:tr>
        <w:tc>
          <w:tcPr>
            <w:tcW w:type="dxa" w:w="1800"/>
          </w:tcPr>
          <w:p>
            <w:pPr>
              <w:jc w:val="left"/>
            </w:pPr>
            <w:r>
              <w:t>Banana</w:t>
            </w:r>
          </w:p>
        </w:tc>
        <w:tc>
          <w:tcPr>
            <w:tcW w:type="dxa" w:w="1800"/>
          </w:tcPr>
          <w:p>
            <w:pPr>
              <w:jc w:val="center"/>
            </w:pPr>
            <w:r>
              <w:t>Fruits-360</w:t>
            </w:r>
          </w:p>
        </w:tc>
        <w:tc>
          <w:tcPr>
            <w:tcW w:type="dxa" w:w="1800"/>
          </w:tcPr>
          <w:p>
            <w:pPr>
              <w:jc w:val="center"/>
            </w:pPr>
            <w:r>
              <w:t>736</w:t>
            </w:r>
          </w:p>
        </w:tc>
        <w:tc>
          <w:tcPr>
            <w:tcW w:type="dxa" w:w="1800"/>
          </w:tcPr>
          <w:p>
            <w:pPr>
              <w:jc w:val="center"/>
            </w:pPr>
            <w:r>
              <w:t>184</w:t>
            </w:r>
          </w:p>
        </w:tc>
        <w:tc>
          <w:tcPr>
            <w:tcW w:type="dxa" w:w="1800"/>
          </w:tcPr>
          <w:p>
            <w:pPr>
              <w:jc w:val="center"/>
            </w:pPr>
            <w:r>
              <w:t>920</w:t>
            </w:r>
          </w:p>
        </w:tc>
      </w:tr>
      <w:tr>
        <w:tc>
          <w:tcPr>
            <w:tcW w:type="dxa" w:w="1800"/>
            <w:shd w:val="clear" w:color="auto" w:fill="EEF2FF"/>
          </w:tcPr>
          <w:p>
            <w:pPr>
              <w:jc w:val="left"/>
            </w:pPr>
            <w:r>
              <w:t>Banana_Rotten</w:t>
            </w:r>
          </w:p>
        </w:tc>
        <w:tc>
          <w:tcPr>
            <w:tcW w:type="dxa" w:w="1800"/>
            <w:shd w:val="clear" w:color="auto" w:fill="EEF2FF"/>
          </w:tcPr>
          <w:p>
            <w:pPr>
              <w:jc w:val="center"/>
            </w:pPr>
            <w:r>
              <w:t>Rotten Fruits</w:t>
            </w:r>
          </w:p>
        </w:tc>
        <w:tc>
          <w:tcPr>
            <w:tcW w:type="dxa" w:w="1800"/>
            <w:shd w:val="clear" w:color="auto" w:fill="EEF2FF"/>
          </w:tcPr>
          <w:p>
            <w:pPr>
              <w:jc w:val="center"/>
            </w:pPr>
            <w:r>
              <w:t>275</w:t>
            </w:r>
          </w:p>
        </w:tc>
        <w:tc>
          <w:tcPr>
            <w:tcW w:type="dxa" w:w="1800"/>
            <w:shd w:val="clear" w:color="auto" w:fill="EEF2FF"/>
          </w:tcPr>
          <w:p>
            <w:pPr>
              <w:jc w:val="center"/>
            </w:pPr>
            <w:r>
              <w:t>69</w:t>
            </w:r>
          </w:p>
        </w:tc>
        <w:tc>
          <w:tcPr>
            <w:tcW w:type="dxa" w:w="1800"/>
            <w:shd w:val="clear" w:color="auto" w:fill="EEF2FF"/>
          </w:tcPr>
          <w:p>
            <w:pPr>
              <w:jc w:val="center"/>
            </w:pPr>
            <w:r>
              <w:t>344</w:t>
            </w:r>
          </w:p>
        </w:tc>
      </w:tr>
      <w:tr>
        <w:tc>
          <w:tcPr>
            <w:tcW w:type="dxa" w:w="1800"/>
          </w:tcPr>
          <w:p>
            <w:pPr>
              <w:jc w:val="left"/>
            </w:pPr>
            <w:r>
              <w:t>Orange</w:t>
            </w:r>
          </w:p>
        </w:tc>
        <w:tc>
          <w:tcPr>
            <w:tcW w:type="dxa" w:w="1800"/>
          </w:tcPr>
          <w:p>
            <w:pPr>
              <w:jc w:val="center"/>
            </w:pPr>
            <w:r>
              <w:t>Fruits-360</w:t>
            </w:r>
          </w:p>
        </w:tc>
        <w:tc>
          <w:tcPr>
            <w:tcW w:type="dxa" w:w="1800"/>
          </w:tcPr>
          <w:p>
            <w:pPr>
              <w:jc w:val="center"/>
            </w:pPr>
            <w:r>
              <w:t>1,166</w:t>
            </w:r>
          </w:p>
        </w:tc>
        <w:tc>
          <w:tcPr>
            <w:tcW w:type="dxa" w:w="1800"/>
          </w:tcPr>
          <w:p>
            <w:pPr>
              <w:jc w:val="center"/>
            </w:pPr>
            <w:r>
              <w:t>292</w:t>
            </w:r>
          </w:p>
        </w:tc>
        <w:tc>
          <w:tcPr>
            <w:tcW w:type="dxa" w:w="1800"/>
          </w:tcPr>
          <w:p>
            <w:pPr>
              <w:jc w:val="center"/>
            </w:pPr>
            <w:r>
              <w:t>1,458</w:t>
            </w:r>
          </w:p>
        </w:tc>
      </w:tr>
      <w:tr>
        <w:tc>
          <w:tcPr>
            <w:tcW w:type="dxa" w:w="1800"/>
            <w:shd w:val="clear" w:color="auto" w:fill="EEF2FF"/>
          </w:tcPr>
          <w:p>
            <w:pPr>
              <w:jc w:val="left"/>
            </w:pPr>
            <w:r>
              <w:t>Orange_Rotten</w:t>
            </w:r>
          </w:p>
        </w:tc>
        <w:tc>
          <w:tcPr>
            <w:tcW w:type="dxa" w:w="1800"/>
            <w:shd w:val="clear" w:color="auto" w:fill="EEF2FF"/>
          </w:tcPr>
          <w:p>
            <w:pPr>
              <w:jc w:val="center"/>
            </w:pPr>
            <w:r>
              <w:t>Rotten Fruits</w:t>
            </w:r>
          </w:p>
        </w:tc>
        <w:tc>
          <w:tcPr>
            <w:tcW w:type="dxa" w:w="1800"/>
            <w:shd w:val="clear" w:color="auto" w:fill="EEF2FF"/>
          </w:tcPr>
          <w:p>
            <w:pPr>
              <w:jc w:val="center"/>
            </w:pPr>
            <w:r>
              <w:t>275</w:t>
            </w:r>
          </w:p>
        </w:tc>
        <w:tc>
          <w:tcPr>
            <w:tcW w:type="dxa" w:w="1800"/>
            <w:shd w:val="clear" w:color="auto" w:fill="EEF2FF"/>
          </w:tcPr>
          <w:p>
            <w:pPr>
              <w:jc w:val="center"/>
            </w:pPr>
            <w:r>
              <w:t>69</w:t>
            </w:r>
          </w:p>
        </w:tc>
        <w:tc>
          <w:tcPr>
            <w:tcW w:type="dxa" w:w="1800"/>
            <w:shd w:val="clear" w:color="auto" w:fill="EEF2FF"/>
          </w:tcPr>
          <w:p>
            <w:pPr>
              <w:jc w:val="center"/>
            </w:pPr>
            <w:r>
              <w:t>344</w:t>
            </w:r>
          </w:p>
        </w:tc>
      </w:tr>
      <w:tr>
        <w:tc>
          <w:tcPr>
            <w:tcW w:type="dxa" w:w="1800"/>
          </w:tcPr>
          <w:p>
            <w:pPr>
              <w:jc w:val="left"/>
            </w:pPr>
            <w:r>
              <w:t>TOTAL</w:t>
            </w:r>
          </w:p>
        </w:tc>
        <w:tc>
          <w:tcPr>
            <w:tcW w:type="dxa" w:w="1800"/>
          </w:tcPr>
          <w:p>
            <w:pPr>
              <w:jc w:val="center"/>
            </w:pPr>
            <w:r>
              <w:t>–</w:t>
            </w:r>
          </w:p>
        </w:tc>
        <w:tc>
          <w:tcPr>
            <w:tcW w:type="dxa" w:w="1800"/>
          </w:tcPr>
          <w:p>
            <w:pPr>
              <w:jc w:val="center"/>
            </w:pPr>
            <w:r>
              <w:t>5,467</w:t>
            </w:r>
          </w:p>
        </w:tc>
        <w:tc>
          <w:tcPr>
            <w:tcW w:type="dxa" w:w="1800"/>
          </w:tcPr>
          <w:p>
            <w:pPr>
              <w:jc w:val="center"/>
            </w:pPr>
            <w:r>
              <w:t>1,368</w:t>
            </w:r>
          </w:p>
        </w:tc>
        <w:tc>
          <w:tcPr>
            <w:tcW w:type="dxa" w:w="1800"/>
          </w:tcPr>
          <w:p>
            <w:pPr>
              <w:jc w:val="center"/>
            </w:pPr>
            <w:r>
              <w:t>6,835</w:t>
            </w:r>
          </w:p>
        </w:tc>
      </w:tr>
    </w:tbl>
    <w:p/>
    <w:p>
      <w:pPr>
        <w:pStyle w:val="Heading2"/>
      </w:pPr>
      <w:r>
        <w:t>4.2  Training Strategy</w:t>
      </w:r>
    </w:p>
    <w:p>
      <w:pPr>
        <w:jc w:val="center"/>
      </w:pPr>
      <w:r>
        <w:rPr>
          <w:b/>
          <w:sz w:val="20"/>
        </w:rPr>
        <w:t>Table 4.2: Training Augmentation Parameters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1B3A6B"/>
          </w:tcPr>
          <w:p>
            <w:pPr>
              <w:jc w:val="center"/>
            </w:pPr>
            <w:r>
              <w:rPr>
                <w:b/>
                <w:color w:val="FFFFFF"/>
              </w:rPr>
              <w:t>Augmentation</w:t>
            </w:r>
          </w:p>
        </w:tc>
        <w:tc>
          <w:tcPr>
            <w:tcW w:type="dxa" w:w="3000"/>
            <w:shd w:val="clear" w:color="auto" w:fill="1B3A6B"/>
          </w:tcPr>
          <w:p>
            <w:pPr>
              <w:jc w:val="center"/>
            </w:pPr>
            <w:r>
              <w:rPr>
                <w:b/>
                <w:color w:val="FFFFFF"/>
              </w:rPr>
              <w:t>Range</w:t>
            </w:r>
          </w:p>
        </w:tc>
        <w:tc>
          <w:tcPr>
            <w:tcW w:type="dxa" w:w="3000"/>
            <w:shd w:val="clear" w:color="auto" w:fill="1B3A6B"/>
          </w:tcPr>
          <w:p>
            <w:pPr>
              <w:jc w:val="center"/>
            </w:pPr>
            <w:r>
              <w:rPr>
                <w:b/>
                <w:color w:val="FFFFFF"/>
              </w:rPr>
              <w:t>Rationale</w:t>
            </w:r>
          </w:p>
        </w:tc>
      </w:tr>
      <w:tr>
        <w:tc>
          <w:tcPr>
            <w:tcW w:type="dxa" w:w="3000"/>
          </w:tcPr>
          <w:p>
            <w:pPr>
              <w:jc w:val="left"/>
            </w:pPr>
            <w:r>
              <w:t>Rotation</w:t>
            </w:r>
          </w:p>
        </w:tc>
        <w:tc>
          <w:tcPr>
            <w:tcW w:type="dxa" w:w="3000"/>
          </w:tcPr>
          <w:p>
            <w:pPr>
              <w:jc w:val="center"/>
            </w:pPr>
            <w:r>
              <w:t>±30°</w:t>
            </w:r>
          </w:p>
        </w:tc>
        <w:tc>
          <w:tcPr>
            <w:tcW w:type="dxa" w:w="3000"/>
          </w:tcPr>
          <w:p>
            <w:pPr>
              <w:jc w:val="center"/>
            </w:pPr>
            <w:r>
              <w:t>Tilted captures</w:t>
            </w:r>
          </w:p>
        </w:tc>
      </w:tr>
      <w:tr>
        <w:tc>
          <w:tcPr>
            <w:tcW w:type="dxa" w:w="3000"/>
            <w:shd w:val="clear" w:color="auto" w:fill="EEF2FF"/>
          </w:tcPr>
          <w:p>
            <w:pPr>
              <w:jc w:val="left"/>
            </w:pPr>
            <w:r>
              <w:t>Width/Height Shift</w:t>
            </w:r>
          </w:p>
        </w:tc>
        <w:tc>
          <w:tcPr>
            <w:tcW w:type="dxa" w:w="3000"/>
            <w:shd w:val="clear" w:color="auto" w:fill="EEF2FF"/>
          </w:tcPr>
          <w:p>
            <w:pPr>
              <w:jc w:val="center"/>
            </w:pPr>
            <w:r>
              <w:t>±20%</w:t>
            </w:r>
          </w:p>
        </w:tc>
        <w:tc>
          <w:tcPr>
            <w:tcW w:type="dxa" w:w="3000"/>
            <w:shd w:val="clear" w:color="auto" w:fill="EEF2FF"/>
          </w:tcPr>
          <w:p>
            <w:pPr>
              <w:jc w:val="center"/>
            </w:pPr>
            <w:r>
              <w:t>Off-centre framing</w:t>
            </w:r>
          </w:p>
        </w:tc>
      </w:tr>
      <w:tr>
        <w:tc>
          <w:tcPr>
            <w:tcW w:type="dxa" w:w="3000"/>
          </w:tcPr>
          <w:p>
            <w:pPr>
              <w:jc w:val="left"/>
            </w:pPr>
            <w:r>
              <w:t>Zoom</w:t>
            </w:r>
          </w:p>
        </w:tc>
        <w:tc>
          <w:tcPr>
            <w:tcW w:type="dxa" w:w="3000"/>
          </w:tcPr>
          <w:p>
            <w:pPr>
              <w:jc w:val="center"/>
            </w:pPr>
            <w:r>
              <w:t>25%</w:t>
            </w:r>
          </w:p>
        </w:tc>
        <w:tc>
          <w:tcPr>
            <w:tcW w:type="dxa" w:w="3000"/>
          </w:tcPr>
          <w:p>
            <w:pPr>
              <w:jc w:val="center"/>
            </w:pPr>
            <w:r>
              <w:t>Distance variation</w:t>
            </w:r>
          </w:p>
        </w:tc>
      </w:tr>
      <w:tr>
        <w:tc>
          <w:tcPr>
            <w:tcW w:type="dxa" w:w="3000"/>
            <w:shd w:val="clear" w:color="auto" w:fill="EEF2FF"/>
          </w:tcPr>
          <w:p>
            <w:pPr>
              <w:jc w:val="left"/>
            </w:pPr>
            <w:r>
              <w:t>Brightness</w:t>
            </w:r>
          </w:p>
        </w:tc>
        <w:tc>
          <w:tcPr>
            <w:tcW w:type="dxa" w:w="3000"/>
            <w:shd w:val="clear" w:color="auto" w:fill="EEF2FF"/>
          </w:tcPr>
          <w:p>
            <w:pPr>
              <w:jc w:val="center"/>
            </w:pPr>
            <w:r>
              <w:t>[0.7–1.3]</w:t>
            </w:r>
          </w:p>
        </w:tc>
        <w:tc>
          <w:tcPr>
            <w:tcW w:type="dxa" w:w="3000"/>
            <w:shd w:val="clear" w:color="auto" w:fill="EEF2FF"/>
          </w:tcPr>
          <w:p>
            <w:pPr>
              <w:jc w:val="center"/>
            </w:pPr>
            <w:r>
              <w:t>Lighting conditions</w:t>
            </w:r>
          </w:p>
        </w:tc>
      </w:tr>
      <w:tr>
        <w:tc>
          <w:tcPr>
            <w:tcW w:type="dxa" w:w="3000"/>
          </w:tcPr>
          <w:p>
            <w:pPr>
              <w:jc w:val="left"/>
            </w:pPr>
            <w:r>
              <w:t>Channel Shift</w:t>
            </w:r>
          </w:p>
        </w:tc>
        <w:tc>
          <w:tcPr>
            <w:tcW w:type="dxa" w:w="3000"/>
          </w:tcPr>
          <w:p>
            <w:pPr>
              <w:jc w:val="center"/>
            </w:pPr>
            <w:r>
              <w:t>±10</w:t>
            </w:r>
          </w:p>
        </w:tc>
        <w:tc>
          <w:tcPr>
            <w:tcW w:type="dxa" w:w="3000"/>
          </w:tcPr>
          <w:p>
            <w:pPr>
              <w:jc w:val="center"/>
            </w:pPr>
            <w:r>
              <w:t>White balance</w:t>
            </w:r>
          </w:p>
        </w:tc>
      </w:tr>
      <w:tr>
        <w:tc>
          <w:tcPr>
            <w:tcW w:type="dxa" w:w="3000"/>
            <w:shd w:val="clear" w:color="auto" w:fill="EEF2FF"/>
          </w:tcPr>
          <w:p>
            <w:pPr>
              <w:jc w:val="left"/>
            </w:pPr>
            <w:r>
              <w:t>Horizontal Flip</w:t>
            </w:r>
          </w:p>
        </w:tc>
        <w:tc>
          <w:tcPr>
            <w:tcW w:type="dxa" w:w="3000"/>
            <w:shd w:val="clear" w:color="auto" w:fill="EEF2FF"/>
          </w:tcPr>
          <w:p>
            <w:pPr>
              <w:jc w:val="center"/>
            </w:pPr>
            <w:r>
              <w:t>Enabled</w:t>
            </w:r>
          </w:p>
        </w:tc>
        <w:tc>
          <w:tcPr>
            <w:tcW w:type="dxa" w:w="3000"/>
            <w:shd w:val="clear" w:color="auto" w:fill="EEF2FF"/>
          </w:tcPr>
          <w:p>
            <w:pPr>
              <w:jc w:val="center"/>
            </w:pPr>
            <w:r>
              <w:t>No handedness</w:t>
            </w:r>
          </w:p>
        </w:tc>
      </w:tr>
      <w:tr>
        <w:tc>
          <w:tcPr>
            <w:tcW w:type="dxa" w:w="3000"/>
          </w:tcPr>
          <w:p>
            <w:pPr>
              <w:jc w:val="left"/>
            </w:pPr>
            <w:r>
              <w:t>Fill Mode</w:t>
            </w:r>
          </w:p>
        </w:tc>
        <w:tc>
          <w:tcPr>
            <w:tcW w:type="dxa" w:w="3000"/>
          </w:tcPr>
          <w:p>
            <w:pPr>
              <w:jc w:val="center"/>
            </w:pPr>
            <w:r>
              <w:t>reflect</w:t>
            </w:r>
          </w:p>
        </w:tc>
        <w:tc>
          <w:tcPr>
            <w:tcW w:type="dxa" w:w="3000"/>
          </w:tcPr>
          <w:p>
            <w:pPr>
              <w:jc w:val="center"/>
            </w:pPr>
            <w:r>
              <w:t>No border artefacts</w:t>
            </w:r>
          </w:p>
        </w:tc>
      </w:tr>
    </w:tbl>
    <w:p/>
    <w:p>
      <w:pPr>
        <w:pStyle w:val="BodyText"/>
      </w:pPr>
      <w:r>
        <w:t>Two-phase training: Phase 1 (frozen base, 15 epochs, lr=1e-3) warms up the custom head. Phase 2 (top 30 layers unfrozen, 20 epochs, lr=1e-4) fine-tunes domain-specific features. EarlyStopping (patience 5/7) and ModelCheckpoint preserve the best validation weights throughout.</w:t>
      </w:r>
    </w:p>
    <w:p>
      <w:pPr>
        <w:pStyle w:val="Heading2"/>
      </w:pPr>
      <w:r>
        <w:t>4.3  Evaluation Protocol</w:t>
      </w:r>
    </w:p>
    <w:p>
      <w:pPr>
        <w:pStyle w:val="BodyText"/>
      </w:pPr>
      <w:r>
        <w:t>The model was evaluated on a held-out cross-dataset test set of 1,161 images: fresh images from the merged/val split and rotten images from the rotten-fruits test partition — sources not seen during training. This provides a rigorous cross-dataset generalisation measure.</w:t>
      </w:r>
    </w:p>
    <w:p>
      <w:r>
        <w:br w:type="page"/>
      </w:r>
    </w:p>
    <w:p>
      <w:pPr>
        <w:pStyle w:val="Heading1"/>
      </w:pPr>
      <w:r>
        <w:t>CHAPTER 5</w:t>
      </w:r>
    </w:p>
    <w:p>
      <w:pPr>
        <w:pStyle w:val="Heading3"/>
      </w:pPr>
      <w:r>
        <w:t>CODING AND TESTING</w:t>
      </w:r>
    </w:p>
    <w:p>
      <w:pPr>
        <w:pStyle w:val="Heading2"/>
      </w:pPr>
      <w:r>
        <w:t>5.1  Backend Implementation</w:t>
      </w:r>
    </w:p>
    <w:p>
      <w:pPr>
        <w:jc w:val="center"/>
      </w:pPr>
      <w:r>
        <w:rPr>
          <w:b/>
          <w:sz w:val="20"/>
        </w:rPr>
        <w:t>Table 5.1: Backend Technology Stack</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1B3A6B"/>
          </w:tcPr>
          <w:p>
            <w:pPr>
              <w:jc w:val="center"/>
            </w:pPr>
            <w:r>
              <w:rPr>
                <w:b/>
                <w:color w:val="FFFFFF"/>
              </w:rPr>
              <w:t>Component</w:t>
            </w:r>
          </w:p>
        </w:tc>
        <w:tc>
          <w:tcPr>
            <w:tcW w:type="dxa" w:w="3000"/>
            <w:shd w:val="clear" w:color="auto" w:fill="1B3A6B"/>
          </w:tcPr>
          <w:p>
            <w:pPr>
              <w:jc w:val="center"/>
            </w:pPr>
            <w:r>
              <w:rPr>
                <w:b/>
                <w:color w:val="FFFFFF"/>
              </w:rPr>
              <w:t>Technology</w:t>
            </w:r>
          </w:p>
        </w:tc>
        <w:tc>
          <w:tcPr>
            <w:tcW w:type="dxa" w:w="3000"/>
            <w:shd w:val="clear" w:color="auto" w:fill="1B3A6B"/>
          </w:tcPr>
          <w:p>
            <w:pPr>
              <w:jc w:val="center"/>
            </w:pPr>
            <w:r>
              <w:rPr>
                <w:b/>
                <w:color w:val="FFFFFF"/>
              </w:rPr>
              <w:t>Version</w:t>
            </w:r>
          </w:p>
        </w:tc>
      </w:tr>
      <w:tr>
        <w:tc>
          <w:tcPr>
            <w:tcW w:type="dxa" w:w="3000"/>
          </w:tcPr>
          <w:p>
            <w:pPr>
              <w:jc w:val="left"/>
            </w:pPr>
            <w:r>
              <w:t>Language</w:t>
            </w:r>
          </w:p>
        </w:tc>
        <w:tc>
          <w:tcPr>
            <w:tcW w:type="dxa" w:w="3000"/>
          </w:tcPr>
          <w:p>
            <w:pPr>
              <w:jc w:val="center"/>
            </w:pPr>
            <w:r>
              <w:t>Python</w:t>
            </w:r>
          </w:p>
        </w:tc>
        <w:tc>
          <w:tcPr>
            <w:tcW w:type="dxa" w:w="3000"/>
          </w:tcPr>
          <w:p>
            <w:pPr>
              <w:jc w:val="center"/>
            </w:pPr>
            <w:r>
              <w:t>3.11</w:t>
            </w:r>
          </w:p>
        </w:tc>
      </w:tr>
      <w:tr>
        <w:tc>
          <w:tcPr>
            <w:tcW w:type="dxa" w:w="3000"/>
            <w:shd w:val="clear" w:color="auto" w:fill="EEF2FF"/>
          </w:tcPr>
          <w:p>
            <w:pPr>
              <w:jc w:val="left"/>
            </w:pPr>
            <w:r>
              <w:t>Web Framework</w:t>
            </w:r>
          </w:p>
        </w:tc>
        <w:tc>
          <w:tcPr>
            <w:tcW w:type="dxa" w:w="3000"/>
            <w:shd w:val="clear" w:color="auto" w:fill="EEF2FF"/>
          </w:tcPr>
          <w:p>
            <w:pPr>
              <w:jc w:val="center"/>
            </w:pPr>
            <w:r>
              <w:t>FastAPI</w:t>
            </w:r>
          </w:p>
        </w:tc>
        <w:tc>
          <w:tcPr>
            <w:tcW w:type="dxa" w:w="3000"/>
            <w:shd w:val="clear" w:color="auto" w:fill="EEF2FF"/>
          </w:tcPr>
          <w:p>
            <w:pPr>
              <w:jc w:val="center"/>
            </w:pPr>
            <w:r>
              <w:t>0.110</w:t>
            </w:r>
          </w:p>
        </w:tc>
      </w:tr>
      <w:tr>
        <w:tc>
          <w:tcPr>
            <w:tcW w:type="dxa" w:w="3000"/>
          </w:tcPr>
          <w:p>
            <w:pPr>
              <w:jc w:val="left"/>
            </w:pPr>
            <w:r>
              <w:t>ASGI Server</w:t>
            </w:r>
          </w:p>
        </w:tc>
        <w:tc>
          <w:tcPr>
            <w:tcW w:type="dxa" w:w="3000"/>
          </w:tcPr>
          <w:p>
            <w:pPr>
              <w:jc w:val="center"/>
            </w:pPr>
            <w:r>
              <w:t>Uvicorn</w:t>
            </w:r>
          </w:p>
        </w:tc>
        <w:tc>
          <w:tcPr>
            <w:tcW w:type="dxa" w:w="3000"/>
          </w:tcPr>
          <w:p>
            <w:pPr>
              <w:jc w:val="center"/>
            </w:pPr>
            <w:r>
              <w:t>0.28</w:t>
            </w:r>
          </w:p>
        </w:tc>
      </w:tr>
      <w:tr>
        <w:tc>
          <w:tcPr>
            <w:tcW w:type="dxa" w:w="3000"/>
            <w:shd w:val="clear" w:color="auto" w:fill="EEF2FF"/>
          </w:tcPr>
          <w:p>
            <w:pPr>
              <w:jc w:val="left"/>
            </w:pPr>
            <w:r>
              <w:t>Deep Learning</w:t>
            </w:r>
          </w:p>
        </w:tc>
        <w:tc>
          <w:tcPr>
            <w:tcW w:type="dxa" w:w="3000"/>
            <w:shd w:val="clear" w:color="auto" w:fill="EEF2FF"/>
          </w:tcPr>
          <w:p>
            <w:pPr>
              <w:jc w:val="center"/>
            </w:pPr>
            <w:r>
              <w:t>TensorFlow/Keras</w:t>
            </w:r>
          </w:p>
        </w:tc>
        <w:tc>
          <w:tcPr>
            <w:tcW w:type="dxa" w:w="3000"/>
            <w:shd w:val="clear" w:color="auto" w:fill="EEF2FF"/>
          </w:tcPr>
          <w:p>
            <w:pPr>
              <w:jc w:val="center"/>
            </w:pPr>
            <w:r>
              <w:t>2.16</w:t>
            </w:r>
          </w:p>
        </w:tc>
      </w:tr>
      <w:tr>
        <w:tc>
          <w:tcPr>
            <w:tcW w:type="dxa" w:w="3000"/>
          </w:tcPr>
          <w:p>
            <w:pPr>
              <w:jc w:val="left"/>
            </w:pPr>
            <w:r>
              <w:t>Image Processing</w:t>
            </w:r>
          </w:p>
        </w:tc>
        <w:tc>
          <w:tcPr>
            <w:tcW w:type="dxa" w:w="3000"/>
          </w:tcPr>
          <w:p>
            <w:pPr>
              <w:jc w:val="center"/>
            </w:pPr>
            <w:r>
              <w:t>Pillow</w:t>
            </w:r>
          </w:p>
        </w:tc>
        <w:tc>
          <w:tcPr>
            <w:tcW w:type="dxa" w:w="3000"/>
          </w:tcPr>
          <w:p>
            <w:pPr>
              <w:jc w:val="center"/>
            </w:pPr>
            <w:r>
              <w:t>10.2</w:t>
            </w:r>
          </w:p>
        </w:tc>
      </w:tr>
      <w:tr>
        <w:tc>
          <w:tcPr>
            <w:tcW w:type="dxa" w:w="3000"/>
            <w:shd w:val="clear" w:color="auto" w:fill="EEF2FF"/>
          </w:tcPr>
          <w:p>
            <w:pPr>
              <w:jc w:val="left"/>
            </w:pPr>
            <w:r>
              <w:t>Colour Science</w:t>
            </w:r>
          </w:p>
        </w:tc>
        <w:tc>
          <w:tcPr>
            <w:tcW w:type="dxa" w:w="3000"/>
            <w:shd w:val="clear" w:color="auto" w:fill="EEF2FF"/>
          </w:tcPr>
          <w:p>
            <w:pPr>
              <w:jc w:val="center"/>
            </w:pPr>
            <w:r>
              <w:t>scikit-image</w:t>
            </w:r>
          </w:p>
        </w:tc>
        <w:tc>
          <w:tcPr>
            <w:tcW w:type="dxa" w:w="3000"/>
            <w:shd w:val="clear" w:color="auto" w:fill="EEF2FF"/>
          </w:tcPr>
          <w:p>
            <w:pPr>
              <w:jc w:val="center"/>
            </w:pPr>
            <w:r>
              <w:t>0.22</w:t>
            </w:r>
          </w:p>
        </w:tc>
      </w:tr>
    </w:tbl>
    <w:p/>
    <w:p>
      <w:pPr>
        <w:pStyle w:val="Heading2"/>
      </w:pPr>
      <w:r>
        <w:t>5.2  Frontend Implementation</w:t>
      </w:r>
    </w:p>
    <w:p>
      <w:pPr>
        <w:jc w:val="center"/>
      </w:pPr>
      <w:r>
        <w:rPr>
          <w:b/>
          <w:sz w:val="20"/>
        </w:rPr>
        <w:t>Table 5.2: Frontend Technology Stack</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1B3A6B"/>
          </w:tcPr>
          <w:p>
            <w:pPr>
              <w:jc w:val="center"/>
            </w:pPr>
            <w:r>
              <w:rPr>
                <w:b/>
                <w:color w:val="FFFFFF"/>
              </w:rPr>
              <w:t>Component</w:t>
            </w:r>
          </w:p>
        </w:tc>
        <w:tc>
          <w:tcPr>
            <w:tcW w:type="dxa" w:w="3000"/>
            <w:shd w:val="clear" w:color="auto" w:fill="1B3A6B"/>
          </w:tcPr>
          <w:p>
            <w:pPr>
              <w:jc w:val="center"/>
            </w:pPr>
            <w:r>
              <w:rPr>
                <w:b/>
                <w:color w:val="FFFFFF"/>
              </w:rPr>
              <w:t>Technology</w:t>
            </w:r>
          </w:p>
        </w:tc>
        <w:tc>
          <w:tcPr>
            <w:tcW w:type="dxa" w:w="3000"/>
            <w:shd w:val="clear" w:color="auto" w:fill="1B3A6B"/>
          </w:tcPr>
          <w:p>
            <w:pPr>
              <w:jc w:val="center"/>
            </w:pPr>
            <w:r>
              <w:rPr>
                <w:b/>
                <w:color w:val="FFFFFF"/>
              </w:rPr>
              <w:t>Version</w:t>
            </w:r>
          </w:p>
        </w:tc>
      </w:tr>
      <w:tr>
        <w:tc>
          <w:tcPr>
            <w:tcW w:type="dxa" w:w="3000"/>
          </w:tcPr>
          <w:p>
            <w:pPr>
              <w:jc w:val="left"/>
            </w:pPr>
            <w:r>
              <w:t>Framework</w:t>
            </w:r>
          </w:p>
        </w:tc>
        <w:tc>
          <w:tcPr>
            <w:tcW w:type="dxa" w:w="3000"/>
          </w:tcPr>
          <w:p>
            <w:pPr>
              <w:jc w:val="center"/>
            </w:pPr>
            <w:r>
              <w:t>React</w:t>
            </w:r>
          </w:p>
        </w:tc>
        <w:tc>
          <w:tcPr>
            <w:tcW w:type="dxa" w:w="3000"/>
          </w:tcPr>
          <w:p>
            <w:pPr>
              <w:jc w:val="center"/>
            </w:pPr>
            <w:r>
              <w:t>18.2</w:t>
            </w:r>
          </w:p>
        </w:tc>
      </w:tr>
      <w:tr>
        <w:tc>
          <w:tcPr>
            <w:tcW w:type="dxa" w:w="3000"/>
            <w:shd w:val="clear" w:color="auto" w:fill="EEF2FF"/>
          </w:tcPr>
          <w:p>
            <w:pPr>
              <w:jc w:val="left"/>
            </w:pPr>
            <w:r>
              <w:t>Bundler</w:t>
            </w:r>
          </w:p>
        </w:tc>
        <w:tc>
          <w:tcPr>
            <w:tcW w:type="dxa" w:w="3000"/>
            <w:shd w:val="clear" w:color="auto" w:fill="EEF2FF"/>
          </w:tcPr>
          <w:p>
            <w:pPr>
              <w:jc w:val="center"/>
            </w:pPr>
            <w:r>
              <w:t>Vite</w:t>
            </w:r>
          </w:p>
        </w:tc>
        <w:tc>
          <w:tcPr>
            <w:tcW w:type="dxa" w:w="3000"/>
            <w:shd w:val="clear" w:color="auto" w:fill="EEF2FF"/>
          </w:tcPr>
          <w:p>
            <w:pPr>
              <w:jc w:val="center"/>
            </w:pPr>
            <w:r>
              <w:t>5.1</w:t>
            </w:r>
          </w:p>
        </w:tc>
      </w:tr>
      <w:tr>
        <w:tc>
          <w:tcPr>
            <w:tcW w:type="dxa" w:w="3000"/>
          </w:tcPr>
          <w:p>
            <w:pPr>
              <w:jc w:val="left"/>
            </w:pPr>
            <w:r>
              <w:t>HTTP Client</w:t>
            </w:r>
          </w:p>
        </w:tc>
        <w:tc>
          <w:tcPr>
            <w:tcW w:type="dxa" w:w="3000"/>
          </w:tcPr>
          <w:p>
            <w:pPr>
              <w:jc w:val="center"/>
            </w:pPr>
            <w:r>
              <w:t>Axios</w:t>
            </w:r>
          </w:p>
        </w:tc>
        <w:tc>
          <w:tcPr>
            <w:tcW w:type="dxa" w:w="3000"/>
          </w:tcPr>
          <w:p>
            <w:pPr>
              <w:jc w:val="center"/>
            </w:pPr>
            <w:r>
              <w:t>1.6</w:t>
            </w:r>
          </w:p>
        </w:tc>
      </w:tr>
      <w:tr>
        <w:tc>
          <w:tcPr>
            <w:tcW w:type="dxa" w:w="3000"/>
            <w:shd w:val="clear" w:color="auto" w:fill="EEF2FF"/>
          </w:tcPr>
          <w:p>
            <w:pPr>
              <w:jc w:val="left"/>
            </w:pPr>
            <w:r>
              <w:t>Styling</w:t>
            </w:r>
          </w:p>
        </w:tc>
        <w:tc>
          <w:tcPr>
            <w:tcW w:type="dxa" w:w="3000"/>
            <w:shd w:val="clear" w:color="auto" w:fill="EEF2FF"/>
          </w:tcPr>
          <w:p>
            <w:pPr>
              <w:jc w:val="center"/>
            </w:pPr>
            <w:r>
              <w:t>Vanilla CSS + Variables</w:t>
            </w:r>
          </w:p>
        </w:tc>
        <w:tc>
          <w:tcPr>
            <w:tcW w:type="dxa" w:w="3000"/>
            <w:shd w:val="clear" w:color="auto" w:fill="EEF2FF"/>
          </w:tcPr>
          <w:p>
            <w:pPr>
              <w:jc w:val="center"/>
            </w:pPr>
            <w:r>
              <w:t>–</w:t>
            </w:r>
          </w:p>
        </w:tc>
      </w:tr>
    </w:tbl>
    <w:p/>
    <w:p>
      <w:pPr>
        <w:pStyle w:val="Heading2"/>
      </w:pPr>
      <w:r>
        <w:t>5.3  Testing</w:t>
      </w:r>
    </w:p>
    <w:p>
      <w:pPr>
        <w:pStyle w:val="BodyText"/>
      </w:pPr>
      <w:r>
        <w:t>Three testing layers: (1) Model unit tests — 5 images per class, reports per-image confidence and score; (2) Scoring unit tests — 20 synthetic L*a*b* vectors against known outputs; (3) API integration tests — real image POSTs asserting HTTP 200 and valid JSON schema with freshness_score ∈ [0,100].</w:t>
      </w:r>
    </w:p>
    <w:p>
      <w:r>
        <w:br w:type="page"/>
      </w:r>
    </w:p>
    <w:p>
      <w:pPr>
        <w:pStyle w:val="Heading1"/>
      </w:pPr>
      <w:r>
        <w:t>CHAPTER 6</w:t>
      </w:r>
    </w:p>
    <w:p>
      <w:pPr>
        <w:pStyle w:val="Heading3"/>
      </w:pPr>
      <w:r>
        <w:t>RESULTS AND OBSERVATIONS</w:t>
      </w:r>
    </w:p>
    <w:p>
      <w:pPr>
        <w:pStyle w:val="Heading2"/>
      </w:pPr>
      <w:r>
        <w:t>6.1  Overall Performance Metrics</w:t>
      </w:r>
    </w:p>
    <w:p>
      <w:pPr>
        <w:jc w:val="center"/>
      </w:pPr>
      <w:r>
        <w:rPr>
          <w:b/>
          <w:sz w:val="20"/>
        </w:rPr>
        <w:t>Table 6.1: Overall Model Performance on Test Set</w:t>
      </w:r>
    </w:p>
    <w:tbl>
      <w:tblPr>
        <w:tblStyle w:val="TableGrid"/>
        <w:tblW w:type="auto" w:w="0"/>
        <w:jc w:val="center"/>
        <w:tblLook w:firstColumn="1" w:firstRow="1" w:lastColumn="0" w:lastRow="0" w:noHBand="0" w:noVBand="1" w:val="04A0"/>
      </w:tblPr>
      <w:tblGrid>
        <w:gridCol w:w="4500"/>
        <w:gridCol w:w="4500"/>
      </w:tblGrid>
      <w:tr>
        <w:tc>
          <w:tcPr>
            <w:tcW w:type="dxa" w:w="4500"/>
            <w:shd w:val="clear" w:color="auto" w:fill="1B3A6B"/>
          </w:tcPr>
          <w:p>
            <w:pPr>
              <w:jc w:val="center"/>
            </w:pPr>
            <w:r>
              <w:rPr>
                <w:b/>
                <w:color w:val="FFFFFF"/>
              </w:rPr>
              <w:t>Metric</w:t>
            </w:r>
          </w:p>
        </w:tc>
        <w:tc>
          <w:tcPr>
            <w:tcW w:type="dxa" w:w="4500"/>
            <w:shd w:val="clear" w:color="auto" w:fill="1B3A6B"/>
          </w:tcPr>
          <w:p>
            <w:pPr>
              <w:jc w:val="center"/>
            </w:pPr>
            <w:r>
              <w:rPr>
                <w:b/>
                <w:color w:val="FFFFFF"/>
              </w:rPr>
              <w:t>Value</w:t>
            </w:r>
          </w:p>
        </w:tc>
      </w:tr>
      <w:tr>
        <w:tc>
          <w:tcPr>
            <w:tcW w:type="dxa" w:w="4500"/>
          </w:tcPr>
          <w:p>
            <w:pPr>
              <w:jc w:val="left"/>
            </w:pPr>
            <w:r>
              <w:t>Overall Accuracy</w:t>
            </w:r>
          </w:p>
        </w:tc>
        <w:tc>
          <w:tcPr>
            <w:tcW w:type="dxa" w:w="4500"/>
          </w:tcPr>
          <w:p>
            <w:pPr>
              <w:jc w:val="center"/>
            </w:pPr>
            <w:r>
              <w:t>89.15%</w:t>
            </w:r>
          </w:p>
        </w:tc>
      </w:tr>
      <w:tr>
        <w:tc>
          <w:tcPr>
            <w:tcW w:type="dxa" w:w="4500"/>
            <w:shd w:val="clear" w:color="auto" w:fill="EEF2FF"/>
          </w:tcPr>
          <w:p>
            <w:pPr>
              <w:jc w:val="left"/>
            </w:pPr>
            <w:r>
              <w:t>Macro Precision</w:t>
            </w:r>
          </w:p>
        </w:tc>
        <w:tc>
          <w:tcPr>
            <w:tcW w:type="dxa" w:w="4500"/>
            <w:shd w:val="clear" w:color="auto" w:fill="EEF2FF"/>
          </w:tcPr>
          <w:p>
            <w:pPr>
              <w:jc w:val="center"/>
            </w:pPr>
            <w:r>
              <w:t>90.86%</w:t>
            </w:r>
          </w:p>
        </w:tc>
      </w:tr>
      <w:tr>
        <w:tc>
          <w:tcPr>
            <w:tcW w:type="dxa" w:w="4500"/>
          </w:tcPr>
          <w:p>
            <w:pPr>
              <w:jc w:val="left"/>
            </w:pPr>
            <w:r>
              <w:t>Macro Recall</w:t>
            </w:r>
          </w:p>
        </w:tc>
        <w:tc>
          <w:tcPr>
            <w:tcW w:type="dxa" w:w="4500"/>
          </w:tcPr>
          <w:p>
            <w:pPr>
              <w:jc w:val="center"/>
            </w:pPr>
            <w:r>
              <w:t>88.95%</w:t>
            </w:r>
          </w:p>
        </w:tc>
      </w:tr>
      <w:tr>
        <w:tc>
          <w:tcPr>
            <w:tcW w:type="dxa" w:w="4500"/>
            <w:shd w:val="clear" w:color="auto" w:fill="EEF2FF"/>
          </w:tcPr>
          <w:p>
            <w:pPr>
              <w:jc w:val="left"/>
            </w:pPr>
            <w:r>
              <w:t>Macro F1-Score</w:t>
            </w:r>
          </w:p>
        </w:tc>
        <w:tc>
          <w:tcPr>
            <w:tcW w:type="dxa" w:w="4500"/>
            <w:shd w:val="clear" w:color="auto" w:fill="EEF2FF"/>
          </w:tcPr>
          <w:p>
            <w:pPr>
              <w:jc w:val="center"/>
            </w:pPr>
            <w:r>
              <w:t>89.23%</w:t>
            </w:r>
          </w:p>
        </w:tc>
      </w:tr>
      <w:tr>
        <w:tc>
          <w:tcPr>
            <w:tcW w:type="dxa" w:w="4500"/>
          </w:tcPr>
          <w:p>
            <w:pPr>
              <w:jc w:val="left"/>
            </w:pPr>
            <w:r>
              <w:t>Avg. Confidence</w:t>
            </w:r>
          </w:p>
        </w:tc>
        <w:tc>
          <w:tcPr>
            <w:tcW w:type="dxa" w:w="4500"/>
          </w:tcPr>
          <w:p>
            <w:pPr>
              <w:jc w:val="center"/>
            </w:pPr>
            <w:r>
              <w:t>95.59%</w:t>
            </w:r>
          </w:p>
        </w:tc>
      </w:tr>
      <w:tr>
        <w:tc>
          <w:tcPr>
            <w:tcW w:type="dxa" w:w="4500"/>
            <w:shd w:val="clear" w:color="auto" w:fill="EEF2FF"/>
          </w:tcPr>
          <w:p>
            <w:pPr>
              <w:jc w:val="left"/>
            </w:pPr>
            <w:r>
              <w:t>Total Test Images</w:t>
            </w:r>
          </w:p>
        </w:tc>
        <w:tc>
          <w:tcPr>
            <w:tcW w:type="dxa" w:w="4500"/>
            <w:shd w:val="clear" w:color="auto" w:fill="EEF2FF"/>
          </w:tcPr>
          <w:p>
            <w:pPr>
              <w:jc w:val="center"/>
            </w:pPr>
            <w:r>
              <w:t>1,161</w:t>
            </w:r>
          </w:p>
        </w:tc>
      </w:tr>
    </w:tbl>
    <w:p/>
    <w:p>
      <w:pPr>
        <w:jc w:val="center"/>
      </w:pPr>
      <w:r>
        <w:drawing>
          <wp:inline xmlns:a="http://schemas.openxmlformats.org/drawingml/2006/main" xmlns:pic="http://schemas.openxmlformats.org/drawingml/2006/picture">
            <wp:extent cx="5486400" cy="2253620"/>
            <wp:docPr id="1" name="Picture 1"/>
            <wp:cNvGraphicFramePr>
              <a:graphicFrameLocks noChangeAspect="1"/>
            </wp:cNvGraphicFramePr>
            <a:graphic>
              <a:graphicData uri="http://schemas.openxmlformats.org/drawingml/2006/picture">
                <pic:pic>
                  <pic:nvPicPr>
                    <pic:cNvPr id="0" name="training_performance_graph.png"/>
                    <pic:cNvPicPr/>
                  </pic:nvPicPr>
                  <pic:blipFill>
                    <a:blip r:embed="rId9"/>
                    <a:stretch>
                      <a:fillRect/>
                    </a:stretch>
                  </pic:blipFill>
                  <pic:spPr>
                    <a:xfrm>
                      <a:off x="0" y="0"/>
                      <a:ext cx="5486400" cy="2253620"/>
                    </a:xfrm>
                    <a:prstGeom prst="rect"/>
                  </pic:spPr>
                </pic:pic>
              </a:graphicData>
            </a:graphic>
          </wp:inline>
        </w:drawing>
      </w:r>
    </w:p>
    <w:p>
      <w:pPr>
        <w:jc w:val="center"/>
      </w:pPr>
      <w:r>
        <w:rPr>
          <w:i/>
          <w:sz w:val="18"/>
        </w:rPr>
        <w:t>Fig. 6.1: Training accuracy and loss curves (20 epochs).</w:t>
      </w:r>
    </w:p>
    <w:p/>
    <w:p>
      <w:pPr>
        <w:pStyle w:val="Heading2"/>
      </w:pPr>
      <w:r>
        <w:t>6.2  Per-Class Analysis</w:t>
      </w:r>
    </w:p>
    <w:p>
      <w:pPr>
        <w:jc w:val="center"/>
      </w:pPr>
      <w:r>
        <w:rPr>
          <w:b/>
          <w:sz w:val="20"/>
        </w:rPr>
        <w:t>Table 6.2: Per-Class Classification Metrics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1B3A6B"/>
          </w:tcPr>
          <w:p>
            <w:pPr>
              <w:jc w:val="center"/>
            </w:pPr>
            <w:r>
              <w:rPr>
                <w:b/>
                <w:color w:val="FFFFFF"/>
              </w:rPr>
              <w:t>Class</w:t>
            </w:r>
          </w:p>
        </w:tc>
        <w:tc>
          <w:tcPr>
            <w:tcW w:type="dxa" w:w="1286"/>
            <w:shd w:val="clear" w:color="auto" w:fill="1B3A6B"/>
          </w:tcPr>
          <w:p>
            <w:pPr>
              <w:jc w:val="center"/>
            </w:pPr>
            <w:r>
              <w:rPr>
                <w:b/>
                <w:color w:val="FFFFFF"/>
              </w:rPr>
              <w:t>N</w:t>
            </w:r>
          </w:p>
        </w:tc>
        <w:tc>
          <w:tcPr>
            <w:tcW w:type="dxa" w:w="1286"/>
            <w:shd w:val="clear" w:color="auto" w:fill="1B3A6B"/>
          </w:tcPr>
          <w:p>
            <w:pPr>
              <w:jc w:val="center"/>
            </w:pPr>
            <w:r>
              <w:rPr>
                <w:b/>
                <w:color w:val="FFFFFF"/>
              </w:rPr>
              <w:t>Correct</w:t>
            </w:r>
          </w:p>
        </w:tc>
        <w:tc>
          <w:tcPr>
            <w:tcW w:type="dxa" w:w="1286"/>
            <w:shd w:val="clear" w:color="auto" w:fill="1B3A6B"/>
          </w:tcPr>
          <w:p>
            <w:pPr>
              <w:jc w:val="center"/>
            </w:pPr>
            <w:r>
              <w:rPr>
                <w:b/>
                <w:color w:val="FFFFFF"/>
              </w:rPr>
              <w:t>Accuracy</w:t>
            </w:r>
          </w:p>
        </w:tc>
        <w:tc>
          <w:tcPr>
            <w:tcW w:type="dxa" w:w="1286"/>
            <w:shd w:val="clear" w:color="auto" w:fill="1B3A6B"/>
          </w:tcPr>
          <w:p>
            <w:pPr>
              <w:jc w:val="center"/>
            </w:pPr>
            <w:r>
              <w:rPr>
                <w:b/>
                <w:color w:val="FFFFFF"/>
              </w:rPr>
              <w:t>Precision</w:t>
            </w:r>
          </w:p>
        </w:tc>
        <w:tc>
          <w:tcPr>
            <w:tcW w:type="dxa" w:w="1286"/>
            <w:shd w:val="clear" w:color="auto" w:fill="1B3A6B"/>
          </w:tcPr>
          <w:p>
            <w:pPr>
              <w:jc w:val="center"/>
            </w:pPr>
            <w:r>
              <w:rPr>
                <w:b/>
                <w:color w:val="FFFFFF"/>
              </w:rPr>
              <w:t>Recall</w:t>
            </w:r>
          </w:p>
        </w:tc>
        <w:tc>
          <w:tcPr>
            <w:tcW w:type="dxa" w:w="1286"/>
            <w:shd w:val="clear" w:color="auto" w:fill="1B3A6B"/>
          </w:tcPr>
          <w:p>
            <w:pPr>
              <w:jc w:val="center"/>
            </w:pPr>
            <w:r>
              <w:rPr>
                <w:b/>
                <w:color w:val="FFFFFF"/>
              </w:rPr>
              <w:t>F1-Score</w:t>
            </w:r>
          </w:p>
        </w:tc>
      </w:tr>
      <w:tr>
        <w:tc>
          <w:tcPr>
            <w:tcW w:type="dxa" w:w="1286"/>
          </w:tcPr>
          <w:p>
            <w:pPr>
              <w:jc w:val="left"/>
            </w:pPr>
            <w:r>
              <w:t>Apple</w:t>
            </w:r>
          </w:p>
        </w:tc>
        <w:tc>
          <w:tcPr>
            <w:tcW w:type="dxa" w:w="1286"/>
          </w:tcPr>
          <w:p>
            <w:pPr>
              <w:jc w:val="center"/>
            </w:pPr>
            <w:r>
              <w:t>200</w:t>
            </w:r>
          </w:p>
        </w:tc>
        <w:tc>
          <w:tcPr>
            <w:tcW w:type="dxa" w:w="1286"/>
          </w:tcPr>
          <w:p>
            <w:pPr>
              <w:jc w:val="center"/>
            </w:pPr>
            <w:r>
              <w:t>190</w:t>
            </w:r>
          </w:p>
        </w:tc>
        <w:tc>
          <w:tcPr>
            <w:tcW w:type="dxa" w:w="1286"/>
          </w:tcPr>
          <w:p>
            <w:pPr>
              <w:jc w:val="center"/>
            </w:pPr>
            <w:r>
              <w:t>95.0%</w:t>
            </w:r>
          </w:p>
        </w:tc>
        <w:tc>
          <w:tcPr>
            <w:tcW w:type="dxa" w:w="1286"/>
          </w:tcPr>
          <w:p>
            <w:pPr>
              <w:jc w:val="center"/>
            </w:pPr>
            <w:r>
              <w:t>0.852</w:t>
            </w:r>
          </w:p>
        </w:tc>
        <w:tc>
          <w:tcPr>
            <w:tcW w:type="dxa" w:w="1286"/>
          </w:tcPr>
          <w:p>
            <w:pPr>
              <w:jc w:val="center"/>
            </w:pPr>
            <w:r>
              <w:t>0.950</w:t>
            </w:r>
          </w:p>
        </w:tc>
        <w:tc>
          <w:tcPr>
            <w:tcW w:type="dxa" w:w="1286"/>
          </w:tcPr>
          <w:p>
            <w:pPr>
              <w:jc w:val="center"/>
            </w:pPr>
            <w:r>
              <w:t>0.898</w:t>
            </w:r>
          </w:p>
        </w:tc>
      </w:tr>
      <w:tr>
        <w:tc>
          <w:tcPr>
            <w:tcW w:type="dxa" w:w="1286"/>
            <w:shd w:val="clear" w:color="auto" w:fill="EEF2FF"/>
          </w:tcPr>
          <w:p>
            <w:pPr>
              <w:jc w:val="left"/>
            </w:pPr>
            <w:r>
              <w:t>Apple_Rotten</w:t>
            </w:r>
          </w:p>
        </w:tc>
        <w:tc>
          <w:tcPr>
            <w:tcW w:type="dxa" w:w="1286"/>
            <w:shd w:val="clear" w:color="auto" w:fill="EEF2FF"/>
          </w:tcPr>
          <w:p>
            <w:pPr>
              <w:jc w:val="center"/>
            </w:pPr>
            <w:r>
              <w:t>200</w:t>
            </w:r>
          </w:p>
        </w:tc>
        <w:tc>
          <w:tcPr>
            <w:tcW w:type="dxa" w:w="1286"/>
            <w:shd w:val="clear" w:color="auto" w:fill="EEF2FF"/>
          </w:tcPr>
          <w:p>
            <w:pPr>
              <w:jc w:val="center"/>
            </w:pPr>
            <w:r>
              <w:t>170</w:t>
            </w:r>
          </w:p>
        </w:tc>
        <w:tc>
          <w:tcPr>
            <w:tcW w:type="dxa" w:w="1286"/>
            <w:shd w:val="clear" w:color="auto" w:fill="EEF2FF"/>
          </w:tcPr>
          <w:p>
            <w:pPr>
              <w:jc w:val="center"/>
            </w:pPr>
            <w:r>
              <w:t>85.0%</w:t>
            </w:r>
          </w:p>
        </w:tc>
        <w:tc>
          <w:tcPr>
            <w:tcW w:type="dxa" w:w="1286"/>
            <w:shd w:val="clear" w:color="auto" w:fill="EEF2FF"/>
          </w:tcPr>
          <w:p>
            <w:pPr>
              <w:jc w:val="center"/>
            </w:pPr>
            <w:r>
              <w:t>0.966</w:t>
            </w:r>
          </w:p>
        </w:tc>
        <w:tc>
          <w:tcPr>
            <w:tcW w:type="dxa" w:w="1286"/>
            <w:shd w:val="clear" w:color="auto" w:fill="EEF2FF"/>
          </w:tcPr>
          <w:p>
            <w:pPr>
              <w:jc w:val="center"/>
            </w:pPr>
            <w:r>
              <w:t>0.850</w:t>
            </w:r>
          </w:p>
        </w:tc>
        <w:tc>
          <w:tcPr>
            <w:tcW w:type="dxa" w:w="1286"/>
            <w:shd w:val="clear" w:color="auto" w:fill="EEF2FF"/>
          </w:tcPr>
          <w:p>
            <w:pPr>
              <w:jc w:val="center"/>
            </w:pPr>
            <w:r>
              <w:t>0.904</w:t>
            </w:r>
          </w:p>
        </w:tc>
      </w:tr>
      <w:tr>
        <w:tc>
          <w:tcPr>
            <w:tcW w:type="dxa" w:w="1286"/>
          </w:tcPr>
          <w:p>
            <w:pPr>
              <w:jc w:val="left"/>
            </w:pPr>
            <w:r>
              <w:t>Banana</w:t>
            </w:r>
          </w:p>
        </w:tc>
        <w:tc>
          <w:tcPr>
            <w:tcW w:type="dxa" w:w="1286"/>
          </w:tcPr>
          <w:p>
            <w:pPr>
              <w:jc w:val="center"/>
            </w:pPr>
            <w:r>
              <w:t>161</w:t>
            </w:r>
          </w:p>
        </w:tc>
        <w:tc>
          <w:tcPr>
            <w:tcW w:type="dxa" w:w="1286"/>
          </w:tcPr>
          <w:p>
            <w:pPr>
              <w:jc w:val="center"/>
            </w:pPr>
            <w:r>
              <w:t>134</w:t>
            </w:r>
          </w:p>
        </w:tc>
        <w:tc>
          <w:tcPr>
            <w:tcW w:type="dxa" w:w="1286"/>
          </w:tcPr>
          <w:p>
            <w:pPr>
              <w:jc w:val="center"/>
            </w:pPr>
            <w:r>
              <w:t>83.2%</w:t>
            </w:r>
          </w:p>
        </w:tc>
        <w:tc>
          <w:tcPr>
            <w:tcW w:type="dxa" w:w="1286"/>
          </w:tcPr>
          <w:p>
            <w:pPr>
              <w:jc w:val="center"/>
            </w:pPr>
            <w:r>
              <w:t>0.985</w:t>
            </w:r>
          </w:p>
        </w:tc>
        <w:tc>
          <w:tcPr>
            <w:tcW w:type="dxa" w:w="1286"/>
          </w:tcPr>
          <w:p>
            <w:pPr>
              <w:jc w:val="center"/>
            </w:pPr>
            <w:r>
              <w:t>0.832</w:t>
            </w:r>
          </w:p>
        </w:tc>
        <w:tc>
          <w:tcPr>
            <w:tcW w:type="dxa" w:w="1286"/>
          </w:tcPr>
          <w:p>
            <w:pPr>
              <w:jc w:val="center"/>
            </w:pPr>
            <w:r>
              <w:t>0.902</w:t>
            </w:r>
          </w:p>
        </w:tc>
      </w:tr>
      <w:tr>
        <w:tc>
          <w:tcPr>
            <w:tcW w:type="dxa" w:w="1286"/>
            <w:shd w:val="clear" w:color="auto" w:fill="EEF2FF"/>
          </w:tcPr>
          <w:p>
            <w:pPr>
              <w:jc w:val="left"/>
            </w:pPr>
            <w:r>
              <w:t>Banana_Rotten</w:t>
            </w:r>
          </w:p>
        </w:tc>
        <w:tc>
          <w:tcPr>
            <w:tcW w:type="dxa" w:w="1286"/>
            <w:shd w:val="clear" w:color="auto" w:fill="EEF2FF"/>
          </w:tcPr>
          <w:p>
            <w:pPr>
              <w:jc w:val="center"/>
            </w:pPr>
            <w:r>
              <w:t>200</w:t>
            </w:r>
          </w:p>
        </w:tc>
        <w:tc>
          <w:tcPr>
            <w:tcW w:type="dxa" w:w="1286"/>
            <w:shd w:val="clear" w:color="auto" w:fill="EEF2FF"/>
          </w:tcPr>
          <w:p>
            <w:pPr>
              <w:jc w:val="center"/>
            </w:pPr>
            <w:r>
              <w:t>190</w:t>
            </w:r>
          </w:p>
        </w:tc>
        <w:tc>
          <w:tcPr>
            <w:tcW w:type="dxa" w:w="1286"/>
            <w:shd w:val="clear" w:color="auto" w:fill="EEF2FF"/>
          </w:tcPr>
          <w:p>
            <w:pPr>
              <w:jc w:val="center"/>
            </w:pPr>
            <w:r>
              <w:t>95.0%</w:t>
            </w:r>
          </w:p>
        </w:tc>
        <w:tc>
          <w:tcPr>
            <w:tcW w:type="dxa" w:w="1286"/>
            <w:shd w:val="clear" w:color="auto" w:fill="EEF2FF"/>
          </w:tcPr>
          <w:p>
            <w:pPr>
              <w:jc w:val="center"/>
            </w:pPr>
            <w:r>
              <w:t>0.936</w:t>
            </w:r>
          </w:p>
        </w:tc>
        <w:tc>
          <w:tcPr>
            <w:tcW w:type="dxa" w:w="1286"/>
            <w:shd w:val="clear" w:color="auto" w:fill="EEF2FF"/>
          </w:tcPr>
          <w:p>
            <w:pPr>
              <w:jc w:val="center"/>
            </w:pPr>
            <w:r>
              <w:t>0.950</w:t>
            </w:r>
          </w:p>
        </w:tc>
        <w:tc>
          <w:tcPr>
            <w:tcW w:type="dxa" w:w="1286"/>
            <w:shd w:val="clear" w:color="auto" w:fill="EEF2FF"/>
          </w:tcPr>
          <w:p>
            <w:pPr>
              <w:jc w:val="center"/>
            </w:pPr>
            <w:r>
              <w:t>0.943</w:t>
            </w:r>
          </w:p>
        </w:tc>
      </w:tr>
      <w:tr>
        <w:tc>
          <w:tcPr>
            <w:tcW w:type="dxa" w:w="1286"/>
          </w:tcPr>
          <w:p>
            <w:pPr>
              <w:jc w:val="left"/>
            </w:pPr>
            <w:r>
              <w:t>Orange</w:t>
            </w:r>
          </w:p>
        </w:tc>
        <w:tc>
          <w:tcPr>
            <w:tcW w:type="dxa" w:w="1286"/>
          </w:tcPr>
          <w:p>
            <w:pPr>
              <w:jc w:val="center"/>
            </w:pPr>
            <w:r>
              <w:t>200</w:t>
            </w:r>
          </w:p>
        </w:tc>
        <w:tc>
          <w:tcPr>
            <w:tcW w:type="dxa" w:w="1286"/>
          </w:tcPr>
          <w:p>
            <w:pPr>
              <w:jc w:val="center"/>
            </w:pPr>
            <w:r>
              <w:t>153</w:t>
            </w:r>
          </w:p>
        </w:tc>
        <w:tc>
          <w:tcPr>
            <w:tcW w:type="dxa" w:w="1286"/>
          </w:tcPr>
          <w:p>
            <w:pPr>
              <w:jc w:val="center"/>
            </w:pPr>
            <w:r>
              <w:t>76.5%</w:t>
            </w:r>
          </w:p>
        </w:tc>
        <w:tc>
          <w:tcPr>
            <w:tcW w:type="dxa" w:w="1286"/>
          </w:tcPr>
          <w:p>
            <w:pPr>
              <w:jc w:val="center"/>
            </w:pPr>
            <w:r>
              <w:t>0.962</w:t>
            </w:r>
          </w:p>
        </w:tc>
        <w:tc>
          <w:tcPr>
            <w:tcW w:type="dxa" w:w="1286"/>
          </w:tcPr>
          <w:p>
            <w:pPr>
              <w:jc w:val="center"/>
            </w:pPr>
            <w:r>
              <w:t>0.765</w:t>
            </w:r>
          </w:p>
        </w:tc>
        <w:tc>
          <w:tcPr>
            <w:tcW w:type="dxa" w:w="1286"/>
          </w:tcPr>
          <w:p>
            <w:pPr>
              <w:jc w:val="center"/>
            </w:pPr>
            <w:r>
              <w:t>0.852</w:t>
            </w:r>
          </w:p>
        </w:tc>
      </w:tr>
      <w:tr>
        <w:tc>
          <w:tcPr>
            <w:tcW w:type="dxa" w:w="1286"/>
            <w:shd w:val="clear" w:color="auto" w:fill="EEF2FF"/>
          </w:tcPr>
          <w:p>
            <w:pPr>
              <w:jc w:val="left"/>
            </w:pPr>
            <w:r>
              <w:t>Orange_Rotten</w:t>
            </w:r>
          </w:p>
        </w:tc>
        <w:tc>
          <w:tcPr>
            <w:tcW w:type="dxa" w:w="1286"/>
            <w:shd w:val="clear" w:color="auto" w:fill="EEF2FF"/>
          </w:tcPr>
          <w:p>
            <w:pPr>
              <w:jc w:val="center"/>
            </w:pPr>
            <w:r>
              <w:t>200</w:t>
            </w:r>
          </w:p>
        </w:tc>
        <w:tc>
          <w:tcPr>
            <w:tcW w:type="dxa" w:w="1286"/>
            <w:shd w:val="clear" w:color="auto" w:fill="EEF2FF"/>
          </w:tcPr>
          <w:p>
            <w:pPr>
              <w:jc w:val="center"/>
            </w:pPr>
            <w:r>
              <w:t>198</w:t>
            </w:r>
          </w:p>
        </w:tc>
        <w:tc>
          <w:tcPr>
            <w:tcW w:type="dxa" w:w="1286"/>
            <w:shd w:val="clear" w:color="auto" w:fill="EEF2FF"/>
          </w:tcPr>
          <w:p>
            <w:pPr>
              <w:jc w:val="center"/>
            </w:pPr>
            <w:r>
              <w:t>99.0%</w:t>
            </w:r>
          </w:p>
        </w:tc>
        <w:tc>
          <w:tcPr>
            <w:tcW w:type="dxa" w:w="1286"/>
            <w:shd w:val="clear" w:color="auto" w:fill="EEF2FF"/>
          </w:tcPr>
          <w:p>
            <w:pPr>
              <w:jc w:val="center"/>
            </w:pPr>
            <w:r>
              <w:t>0.750</w:t>
            </w:r>
          </w:p>
        </w:tc>
        <w:tc>
          <w:tcPr>
            <w:tcW w:type="dxa" w:w="1286"/>
            <w:shd w:val="clear" w:color="auto" w:fill="EEF2FF"/>
          </w:tcPr>
          <w:p>
            <w:pPr>
              <w:jc w:val="center"/>
            </w:pPr>
            <w:r>
              <w:t>0.990</w:t>
            </w:r>
          </w:p>
        </w:tc>
        <w:tc>
          <w:tcPr>
            <w:tcW w:type="dxa" w:w="1286"/>
            <w:shd w:val="clear" w:color="auto" w:fill="EEF2FF"/>
          </w:tcPr>
          <w:p>
            <w:pPr>
              <w:jc w:val="center"/>
            </w:pPr>
            <w:r>
              <w:t>0.853</w:t>
            </w:r>
          </w:p>
        </w:tc>
      </w:tr>
      <w:tr>
        <w:tc>
          <w:tcPr>
            <w:tcW w:type="dxa" w:w="1286"/>
          </w:tcPr>
          <w:p>
            <w:pPr>
              <w:jc w:val="left"/>
            </w:pPr>
            <w:r>
              <w:t>OVERALL</w:t>
            </w:r>
          </w:p>
        </w:tc>
        <w:tc>
          <w:tcPr>
            <w:tcW w:type="dxa" w:w="1286"/>
          </w:tcPr>
          <w:p>
            <w:pPr>
              <w:jc w:val="center"/>
            </w:pPr>
            <w:r>
              <w:t>1,161</w:t>
            </w:r>
          </w:p>
        </w:tc>
        <w:tc>
          <w:tcPr>
            <w:tcW w:type="dxa" w:w="1286"/>
          </w:tcPr>
          <w:p>
            <w:pPr>
              <w:jc w:val="center"/>
            </w:pPr>
            <w:r>
              <w:t>1,035</w:t>
            </w:r>
          </w:p>
        </w:tc>
        <w:tc>
          <w:tcPr>
            <w:tcW w:type="dxa" w:w="1286"/>
          </w:tcPr>
          <w:p>
            <w:pPr>
              <w:jc w:val="center"/>
            </w:pPr>
            <w:r>
              <w:t>89.15%</w:t>
            </w:r>
          </w:p>
        </w:tc>
        <w:tc>
          <w:tcPr>
            <w:tcW w:type="dxa" w:w="1286"/>
          </w:tcPr>
          <w:p>
            <w:pPr>
              <w:jc w:val="center"/>
            </w:pPr>
            <w:r>
              <w:t>0.909</w:t>
            </w:r>
          </w:p>
        </w:tc>
        <w:tc>
          <w:tcPr>
            <w:tcW w:type="dxa" w:w="1286"/>
          </w:tcPr>
          <w:p>
            <w:pPr>
              <w:jc w:val="center"/>
            </w:pPr>
            <w:r>
              <w:t>0.890</w:t>
            </w:r>
          </w:p>
        </w:tc>
        <w:tc>
          <w:tcPr>
            <w:tcW w:type="dxa" w:w="1286"/>
          </w:tcPr>
          <w:p>
            <w:pPr>
              <w:jc w:val="center"/>
            </w:pPr>
            <w:r>
              <w:t>0.892</w:t>
            </w:r>
          </w:p>
        </w:tc>
      </w:tr>
    </w:tbl>
    <w:p/>
    <w:p>
      <w:pPr>
        <w:jc w:val="center"/>
      </w:pPr>
      <w:r>
        <w:drawing>
          <wp:inline xmlns:a="http://schemas.openxmlformats.org/drawingml/2006/main" xmlns:pic="http://schemas.openxmlformats.org/drawingml/2006/picture">
            <wp:extent cx="5486400" cy="2501560"/>
            <wp:docPr id="2" name="Picture 2"/>
            <wp:cNvGraphicFramePr>
              <a:graphicFrameLocks noChangeAspect="1"/>
            </wp:cNvGraphicFramePr>
            <a:graphic>
              <a:graphicData uri="http://schemas.openxmlformats.org/drawingml/2006/picture">
                <pic:pic>
                  <pic:nvPicPr>
                    <pic:cNvPr id="0" name="per_class_metrics_graph.png"/>
                    <pic:cNvPicPr/>
                  </pic:nvPicPr>
                  <pic:blipFill>
                    <a:blip r:embed="rId10"/>
                    <a:stretch>
                      <a:fillRect/>
                    </a:stretch>
                  </pic:blipFill>
                  <pic:spPr>
                    <a:xfrm>
                      <a:off x="0" y="0"/>
                      <a:ext cx="5486400" cy="2501560"/>
                    </a:xfrm>
                    <a:prstGeom prst="rect"/>
                  </pic:spPr>
                </pic:pic>
              </a:graphicData>
            </a:graphic>
          </wp:inline>
        </w:drawing>
      </w:r>
    </w:p>
    <w:p>
      <w:pPr>
        <w:jc w:val="center"/>
      </w:pPr>
      <w:r>
        <w:rPr>
          <w:i/>
          <w:sz w:val="18"/>
        </w:rPr>
        <w:t>Fig. 6.2: Per-class precision, recall and F1-score.</w:t>
      </w:r>
    </w:p>
    <w:p/>
    <w:p>
      <w:pPr>
        <w:pStyle w:val="Heading2"/>
      </w:pPr>
      <w:r>
        <w:t>6.3  Confusion Matrix</w:t>
      </w:r>
    </w:p>
    <w:p>
      <w:pPr>
        <w:jc w:val="center"/>
      </w:pPr>
      <w:r>
        <w:drawing>
          <wp:inline xmlns:a="http://schemas.openxmlformats.org/drawingml/2006/main" xmlns:pic="http://schemas.openxmlformats.org/drawingml/2006/picture">
            <wp:extent cx="4754880" cy="4215319"/>
            <wp:docPr id="3" name="Picture 3"/>
            <wp:cNvGraphicFramePr>
              <a:graphicFrameLocks noChangeAspect="1"/>
            </wp:cNvGraphicFramePr>
            <a:graphic>
              <a:graphicData uri="http://schemas.openxmlformats.org/drawingml/2006/picture">
                <pic:pic>
                  <pic:nvPicPr>
                    <pic:cNvPr id="0" name="confusion_matrix_graph.png"/>
                    <pic:cNvPicPr/>
                  </pic:nvPicPr>
                  <pic:blipFill>
                    <a:blip r:embed="rId11"/>
                    <a:stretch>
                      <a:fillRect/>
                    </a:stretch>
                  </pic:blipFill>
                  <pic:spPr>
                    <a:xfrm>
                      <a:off x="0" y="0"/>
                      <a:ext cx="4754880" cy="4215319"/>
                    </a:xfrm>
                    <a:prstGeom prst="rect"/>
                  </pic:spPr>
                </pic:pic>
              </a:graphicData>
            </a:graphic>
          </wp:inline>
        </w:drawing>
      </w:r>
    </w:p>
    <w:p>
      <w:pPr>
        <w:jc w:val="center"/>
      </w:pPr>
      <w:r>
        <w:rPr>
          <w:i/>
          <w:sz w:val="18"/>
        </w:rPr>
        <w:t>Fig. 6.3: Confusion matrix — 1,161 test images.</w:t>
      </w:r>
    </w:p>
    <w:p/>
    <w:p>
      <w:pPr>
        <w:pStyle w:val="BodyText"/>
      </w:pPr>
      <w:r>
        <w:t>Dominant misclassifications: Orange→Apple (27 instances, 13.5%) due to hue overlap; Apple_Rotten→Orange_Rotten (25 instances) from browning colour similarity; Banana→Banana_Rotten (13 instances) at borderline ripeness. All rotten classes maintained ≥85% recall, ensuring minimal missed-decay alerts.</w:t>
      </w:r>
    </w:p>
    <w:p>
      <w:r>
        <w:br w:type="page"/>
      </w:r>
    </w:p>
    <w:p>
      <w:pPr>
        <w:pStyle w:val="Heading1"/>
      </w:pPr>
      <w:r>
        <w:t>CHAPTER 7</w:t>
      </w:r>
    </w:p>
    <w:p>
      <w:pPr>
        <w:pStyle w:val="Heading3"/>
      </w:pPr>
      <w:r>
        <w:t>CONCLUSION</w:t>
      </w:r>
    </w:p>
    <w:p>
      <w:pPr>
        <w:pStyle w:val="BodyText"/>
      </w:pPr>
      <w:r>
        <w:t>FruitSense demonstrates that MobileNetV2 transfer learning, combined with a CIE L*a*b* colorimetric scoring engine and SE-CNN regression, delivers reliable fruit quality assessment achieving 89.15% overall accuracy and a macro F1-score of 89.23% on a cross-dataset test set of 1,161 images. The full-stack deployment as a FastAPI + React web application makes the system immediately accessible to non-specialist users in supply-chain and retail environments. Future work: expand to 20+ species, incorporate instrument ground-truth for regression, and deploy via TensorFlow Lite for offline mobile use.</w:t>
      </w:r>
    </w:p>
    <w:p>
      <w:r>
        <w:br w:type="page"/>
      </w:r>
    </w:p>
    <w:p>
      <w:pPr>
        <w:pStyle w:val="Heading1"/>
      </w:pPr>
      <w:r>
        <w:t>REFERENCES</w:t>
      </w:r>
    </w:p>
    <w:p>
      <w:pPr>
        <w:pStyle w:val="ListParagraph"/>
        <w:spacing w:after="60"/>
      </w:pPr>
      <w:r>
        <w:t>[1] Mureşan, H. &amp; Oltean, M. (2018). Fruit recognition from images using deep learning. Acta Univ. Sapientiae, Informatica, 10(1), 26–42.</w:t>
      </w:r>
    </w:p>
    <w:p>
      <w:pPr>
        <w:pStyle w:val="ListParagraph"/>
        <w:spacing w:after="60"/>
      </w:pPr>
      <w:r>
        <w:t>[2] Thenmozhi, K. &amp; Srinivasulu Reddy, U. (2021). Crop pest classification based on deep CNN. Computers and Electronics in Agriculture, 164, 104906.</w:t>
      </w:r>
    </w:p>
    <w:p>
      <w:pPr>
        <w:pStyle w:val="ListParagraph"/>
        <w:spacing w:after="60"/>
      </w:pPr>
      <w:r>
        <w:t>[3] Kamilaris, A. &amp; Prenafeta-Boldú, F.X. (2018). Deep learning in agriculture: A survey. Computers and Electronics in Agriculture, 147, 70–90.</w:t>
      </w:r>
    </w:p>
    <w:p>
      <w:pPr>
        <w:pStyle w:val="ListParagraph"/>
        <w:spacing w:after="60"/>
      </w:pPr>
      <w:r>
        <w:t>[4] Sandler, M., et al. (2018). MobileNetV2: Inverted residuals and linear bottlenecks. CVPR 2018, 4510–4520.</w:t>
      </w:r>
    </w:p>
    <w:p>
      <w:pPr>
        <w:pStyle w:val="ListParagraph"/>
        <w:spacing w:after="60"/>
      </w:pPr>
      <w:r>
        <w:t>[5] Atila, Ü., et al. (2021). Plant leaf disease classification using EfficientNet. Ecological Informatics, 61, 101182.</w:t>
      </w:r>
    </w:p>
    <w:p>
      <w:pPr>
        <w:pStyle w:val="ListParagraph"/>
        <w:spacing w:after="60"/>
      </w:pPr>
      <w:r>
        <w:t>[6] Pathare, P.B., et al. (2013). Colour measurement in fresh and processed foods. Food and Bioprocess Technology, 6(1), 36–60.</w:t>
      </w:r>
    </w:p>
    <w:p>
      <w:pPr>
        <w:pStyle w:val="ListParagraph"/>
        <w:spacing w:after="60"/>
      </w:pPr>
      <w:r>
        <w:t>[7] Cheng, J.H., Nicolaï, B. &amp; Sun, D.W. (2017). Hyperspectral imaging for meat quality analysis. Meat Science, 123, 182–191.</w:t>
      </w:r>
    </w:p>
    <w:p>
      <w:pPr>
        <w:pStyle w:val="ListParagraph"/>
        <w:spacing w:after="60"/>
      </w:pPr>
      <w:r>
        <w:t>[8] Hu, J., Shen, L., &amp; Sun, G. (2018). Squeeze-and-Excitation Networks. CVPR 2018, 7132–7141.</w:t>
      </w:r>
    </w:p>
    <w:p>
      <w:pPr>
        <w:pStyle w:val="ListParagraph"/>
        <w:spacing w:after="60"/>
      </w:pPr>
      <w:r>
        <w:t>[9] Mureşan, H. (2016). Fruits 360 Dataset. Kaggle.</w:t>
      </w:r>
    </w:p>
    <w:p>
      <w:pPr>
        <w:pStyle w:val="ListParagraph"/>
        <w:spacing w:after="60"/>
      </w:pPr>
      <w:r>
        <w:t>[10] Hussain, M. (2022). Rotten Fruit Dataset. Kaggle.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