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FruitSense: An AI-Powered Post-Harvest Fruit Quality Assessment System Using Deep Learning and Colorimetric Analysis</w:t>
      </w:r>
    </w:p>
    <w:p/>
    <w:p>
      <w:pPr>
        <w:jc w:val="center"/>
      </w:pPr>
      <w:r>
        <w:rPr>
          <w:sz w:val="24"/>
        </w:rPr>
        <w:t>Gautam Kumar</w:t>
      </w:r>
    </w:p>
    <w:p>
      <w:pPr>
        <w:jc w:val="center"/>
      </w:pPr>
      <w:r>
        <w:rPr>
          <w:i/>
          <w:sz w:val="20"/>
        </w:rPr>
        <w:t>Department of Computer Science and Engineering, Shri Ramswaroop Memorial University, Lucknow, India</w:t>
      </w:r>
    </w:p>
    <w:p>
      <w:pPr>
        <w:jc w:val="center"/>
      </w:pPr>
      <w:r>
        <w:rPr>
          <w:sz w:val="20"/>
        </w:rPr>
        <w:t>Corresponding Author: gautam@srmu.ac.in</w:t>
      </w:r>
    </w:p>
    <w:p/>
    <w:tbl>
      <w:tblPr>
        <w:tblStyle w:val="TableGrid"/>
        <w:tblW w:type="auto" w:w="0"/>
        <w:tblLook w:firstColumn="1" w:firstRow="1" w:lastColumn="0" w:lastRow="0" w:noHBand="0" w:noVBand="1" w:val="04A0"/>
      </w:tblPr>
      <w:tblGrid>
        <w:gridCol w:w="8640"/>
      </w:tblGrid>
      <w:tr>
        <w:tc>
          <w:tcPr>
            <w:tcW w:type="dxa" w:w="8640"/>
          </w:tcPr>
          <w:p>
            <w:r/>
            <w:r>
              <w:rPr>
                <w:b/>
                <w:sz w:val="22"/>
              </w:rPr>
              <w:t xml:space="preserve">Abstract: </w:t>
            </w:r>
            <w:r>
              <w:rPr>
                <w:sz w:val="20"/>
              </w:rPr>
              <w:t>Post-harvest food loss is a critical global challenge, with approximately 1.3 billion tonnes of food wasted annually. Fruit quality deterioration is a primary driver of this waste, yet existing inspection methods remain subjective and labor-intensive. This paper presents FruitSense, an end-to-end AI-powered system for real-time, non-destructive fruit quality assessment. The system integrates two complementary deep learning models: a MobileNetV2-based six-class classifier that distinguishes fresh from rotten specimens across Apple, Banana, and Orange categories, and a custom Squeeze-and-Excitation Convolutional Neural Network (SE-CNN) regressor that predicts continuous physiological parameters including weight-loss percentage, mechanical hardness (N), and brittleness. A multi-factor CIE L*a*b* colorimetric scoring engine synthesizes classifier output with four independent color-science features—lightness (L*), chroma (C*), yellow-orange vibrancy (b*), and a hue-angle decay penalty—to produce a single, physically meaningful freshness score (0–100). Trained on a merged dataset of 11,949 images, the MobileNetV2 classifier achieved 89.15% accuracy under real-world imaging simulation—covering variable lighting, sensor noise, blur, and colour-temperature shifts. The full-stack system is delivered via a React/Vite frontend and a FastAPI/Uvicorn backend, enabling sub-second inference on consumer hardware. Results demonstrate that the real-world evaluation protocol reveals meaningful generalisation characteristics and that the multi-factor colorimetric pipeline provides actionable, interpretable shelf-life estimates, positioning FruitSense as a practical tool for farmers, retailers, and food supply-chain operators.</w:t>
            </w:r>
          </w:p>
          <w:p>
            <w:r>
              <w:rPr>
                <w:b/>
                <w:sz w:val="20"/>
              </w:rPr>
              <w:t xml:space="preserve">Keywords: </w:t>
            </w:r>
            <w:r>
              <w:rPr>
                <w:sz w:val="20"/>
              </w:rPr>
              <w:t>Fruit quality assessment, deep learning, MobileNetV2, transfer learning, Squeeze-and-Excitation networks, colorimetric analysis, post-harvest food loss, computer vision, FastAPI, React.</w:t>
            </w:r>
          </w:p>
        </w:tc>
      </w:tr>
    </w:tbl>
    <w:p/>
    <w:p>
      <w:pPr>
        <w:pStyle w:val="ListParagraph"/>
        <w:spacing w:before="120" w:after="40"/>
      </w:pPr>
      <w:r>
        <w:rPr>
          <w:b/>
          <w:sz w:val="22"/>
        </w:rPr>
        <w:t>Introduction</w:t>
      </w:r>
    </w:p>
    <w:p>
      <w:pPr>
        <w:spacing w:after="80"/>
        <w:ind w:firstLine="360"/>
      </w:pPr>
      <w:r>
        <w:rPr>
          <w:sz w:val="20"/>
        </w:rPr>
        <w:t>Post-harvest food loss represents one of the most pressing challenges in global food security. According to the Food and Agriculture Organization (FAO), approximately 1.3 billion tonnes of food is wasted annually, with fruits and vegetables accounting for the highest share of losses, particularly in developing nations where 40–50% of post-harvest produce perishes before reaching consumers [1]. This waste has far-reaching economic, environmental, and nutritional consequences, yet the primary diagnostic tool—manual inspection by human operators—remains inherently subjective, inconsistent, and unscalable.</w:t>
      </w:r>
    </w:p>
    <w:p>
      <w:pPr>
        <w:spacing w:after="80"/>
        <w:ind w:firstLine="360"/>
      </w:pPr>
      <w:r>
        <w:rPr>
          <w:sz w:val="20"/>
        </w:rPr>
        <w:t>Traditional quality-grading criteria combine color, firmness, surface defects, and aroma into a holistic assessment that trained inspectors apply from experience. While accurate in expert hands, this process introduces inspector variability, fatigue bias, and a throughput ceiling incompatible with modern high-volume supply chains. It also fails to detect early-stage biochemical deterioration that precedes visible spoilage, thus missing a critical intervention window when redirection to processing facilities is still feasible.</w:t>
      </w:r>
    </w:p>
    <w:p>
      <w:pPr>
        <w:spacing w:after="80"/>
        <w:ind w:firstLine="360"/>
      </w:pPr>
      <w:r>
        <w:rPr>
          <w:sz w:val="20"/>
        </w:rPr>
        <w:t>Recent advances in computer vision and deep learning offer a compelling alternative. Convolutional Neural Networks (CNNs) trained on large image datasets have demonstrated human- or super-human performance on classification tasks across domains including medical imaging, satellite imagery, and agricultural produce inspection [2,3]. Transfer learning—initialising a CNN with weights pre-trained on the large-scale ImageNet benchmark and fine-tuning on domain-specific data—has become the standard paradigm for small-to-medium agronomic datasets, enabling high accuracy even when labeled samples number in the tens of thousands rather than millions [4].</w:t>
      </w:r>
    </w:p>
    <w:p>
      <w:pPr>
        <w:spacing w:after="80"/>
        <w:ind w:firstLine="360"/>
      </w:pPr>
      <w:r>
        <w:rPr>
          <w:sz w:val="20"/>
        </w:rPr>
        <w:t>Despite this progress, existing fruit inspection systems face several limitations: (a) they output a binary fresh/rotten decision rather than a nuanced quality score; (b) they ignore continuous physiological proxies such as water-loss percentage and mechanical hardness that are well-correlated with edibility; and (c) they do not integrate classical color-science metrics rooted in the CIE L*a*b* perceptual color space, sacrificing interpretability for raw accuracy.</w:t>
      </w:r>
    </w:p>
    <w:p>
      <w:pPr>
        <w:spacing w:after="80"/>
        <w:ind w:firstLine="360"/>
      </w:pPr>
      <w:r>
        <w:rPr>
          <w:sz w:val="20"/>
        </w:rPr>
        <w:t>This paper presents FruitSense, an integrated system that addresses all three deficiencies. FruitSense combines (i) a MobileNetV2 transfer-learning classifier for real-time fresh/rotten discrimination, (ii) a custom SE-CNN regression model for continuous quality-parameter estimation, and (iii) a four-factor CIE L*a*b* colorimetric scoring algorithm that produces a transparent, physically grounded freshness index. The full system is packaged as a web application with an upload-centric React frontend and a FastAPI backend, making it immediately deployable by non-specialist users.</w:t>
      </w:r>
    </w:p>
    <w:p>
      <w:pPr>
        <w:pStyle w:val="ListParagraph"/>
        <w:spacing w:before="120" w:after="40"/>
      </w:pPr>
      <w:r>
        <w:rPr>
          <w:b/>
          <w:sz w:val="22"/>
        </w:rPr>
        <w:t>Related Work</w:t>
      </w:r>
    </w:p>
    <w:p>
      <w:pPr>
        <w:spacing w:after="80"/>
        <w:ind w:firstLine="360"/>
      </w:pPr>
      <w:r>
        <w:rPr>
          <w:sz w:val="20"/>
        </w:rPr>
        <w:t>Early computational approaches to fruit quality assessment relied on handcrafted features extracted from RGB color histograms, texture descriptors (e.g., Local Binary Patterns), and shape metrics, fed into classical classifiers such as Support Vector Machines (SVMs) or k-Nearest Neighbour (k-NN) [5]. Although these methods achieved respectable accuracy on controlled laboratory images, they generalised poorly to real-world photography due to illumination variance and background clutter.</w:t>
      </w:r>
    </w:p>
    <w:p>
      <w:pPr>
        <w:spacing w:after="80"/>
        <w:ind w:firstLine="360"/>
      </w:pPr>
      <w:r>
        <w:rPr>
          <w:sz w:val="20"/>
        </w:rPr>
        <w:t>The introduction of deep CNNs transformed the field. Mohanty et al. [6] demonstrated that a fine-tuned AlexNet reached 99.35% accuracy on the PlantVillage leaf-disease dataset, inspiring analogous transfer-learning studies for fruit grading. Tian et al. [7] applied ResNet-50 to apple surface-defect detection, while Ahmed et al. [8] used VGG-16 for mango ripeness classification, both reporting accuracy above 95%. MobileNetV2 [9]—which achieves competitive accuracy at significantly lower computational cost through inverted residual blocks and linear bottlenecks—has since become the preferred backbone for edge-deployable fruit inspection models.</w:t>
      </w:r>
    </w:p>
    <w:p>
      <w:pPr>
        <w:spacing w:after="80"/>
        <w:ind w:firstLine="360"/>
      </w:pPr>
      <w:r>
        <w:rPr>
          <w:sz w:val="20"/>
        </w:rPr>
        <w:t>Colorimetric analysis in the CIE L*a*b* space has a long history in food science. Researchers have shown that L* (lightness) falls monotonically as bruising or mould darkens fruit flesh, while chroma C* diminishes as pigment degrades during senescence [10]. Hue angle H° shifts toward the 40–65° brown zone as chlorophyll breaks down and Maillard browning products accumulate. Despite this well-established photometric basis, most deep learning systems treat colorimetric features only as implicit learned representations rather than explicit, auditable scoring components.</w:t>
      </w:r>
    </w:p>
    <w:p>
      <w:pPr>
        <w:spacing w:after="80"/>
        <w:ind w:firstLine="360"/>
      </w:pPr>
      <w:r>
        <w:rPr>
          <w:sz w:val="20"/>
        </w:rPr>
        <w:t>SE-Net (Squeeze-and-Excitation Networks) introduced channel-wise feature recalibration by learning to emphasise informative channels and suppress less useful ones via a lightweight gating mechanism [11]. This capability is particularly relevant for color-sensitive tasks: an SE block can learn to up-weight the channel encoding chroma loss while down-weighting luminance channels that are dominated by illumination rather than decay state. To date, SE blocks have not been applied in conjunction with CIE L*a*b* scoring for multi-parameter fruit quality regression, which is the novel contribution of FruitSense.</w:t>
      </w:r>
    </w:p>
    <w:p>
      <w:pPr>
        <w:pStyle w:val="ListParagraph"/>
        <w:spacing w:before="120" w:after="40"/>
      </w:pPr>
      <w:r>
        <w:rPr>
          <w:b/>
          <w:sz w:val="22"/>
        </w:rPr>
        <w:t>Material and Methods</w:t>
      </w:r>
    </w:p>
    <w:p>
      <w:pPr/>
      <w:r>
        <w:rPr>
          <w:b/>
          <w:sz w:val="20"/>
        </w:rPr>
        <w:t>3.1 Dataset</w:t>
      </w:r>
    </w:p>
    <w:p>
      <w:pPr>
        <w:spacing w:after="80"/>
        <w:ind w:firstLine="360"/>
      </w:pPr>
      <w:r>
        <w:rPr>
          <w:sz w:val="20"/>
        </w:rPr>
        <w:t>The dataset used in this study comprises 11,949 fruit images spanning six classes: Apple, Apple_Rotten, Banana, Banana_Rotten, Orange, and Orange_Rotten. Images were sourced from two publicly available repositories: the Fruits-360 dataset [12], which provides high-resolution images of fresh fruit against uniform backgrounds, and a supplementary rotten-fruit dataset [13] containing real-world images of decayed specimens with diverse backgrounds and lighting conditions. All images were resized to 224 × 224 pixels to match the MobileNetV2 input specification. The dataset was partitioned into training (70%), validation (15%), and test (15%) subsets using stratified sampling to preserve class proportions. To address the imbalance between the larger fresh-fruit and smaller rotten-fruit subsets, per-class loss weights were computed as w_c = N_total / (C × N_c), where C is the number of classes and N_c is the count of images in class c.</w:t>
      </w:r>
    </w:p>
    <w:p>
      <w:pPr>
        <w:spacing w:after="40"/>
      </w:pPr>
      <w:r>
        <w:rPr>
          <w:b/>
          <w:sz w:val="18"/>
        </w:rPr>
        <w:t>Table 1: Dataset class distribution across partitions.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Class</w:t>
            </w:r>
          </w:p>
        </w:tc>
        <w:tc>
          <w:tcPr>
            <w:tcW w:type="dxa" w:w="1728"/>
          </w:tcPr>
          <w:p>
            <w:r/>
            <w:r>
              <w:rPr>
                <w:b/>
                <w:sz w:val="18"/>
              </w:rPr>
              <w:t>Training</w:t>
            </w:r>
          </w:p>
        </w:tc>
        <w:tc>
          <w:tcPr>
            <w:tcW w:type="dxa" w:w="1728"/>
          </w:tcPr>
          <w:p>
            <w:r/>
            <w:r>
              <w:rPr>
                <w:b/>
                <w:sz w:val="18"/>
              </w:rPr>
              <w:t>Validation</w:t>
            </w:r>
          </w:p>
        </w:tc>
        <w:tc>
          <w:tcPr>
            <w:tcW w:type="dxa" w:w="1728"/>
          </w:tcPr>
          <w:p>
            <w:r/>
            <w:r>
              <w:rPr>
                <w:b/>
                <w:sz w:val="18"/>
              </w:rPr>
              <w:t>Test</w:t>
            </w:r>
          </w:p>
        </w:tc>
        <w:tc>
          <w:tcPr>
            <w:tcW w:type="dxa" w:w="1728"/>
          </w:tcPr>
          <w:p>
            <w:r/>
            <w:r>
              <w:rPr>
                <w:b/>
                <w:sz w:val="18"/>
              </w:rPr>
              <w:t>Total</w:t>
            </w:r>
          </w:p>
        </w:tc>
      </w:tr>
      <w:tr>
        <w:tc>
          <w:tcPr>
            <w:tcW w:type="dxa" w:w="1728"/>
          </w:tcPr>
          <w:p>
            <w:r/>
            <w:r>
              <w:rPr>
                <w:sz w:val="18"/>
              </w:rPr>
              <w:t>Apple</w:t>
            </w:r>
          </w:p>
        </w:tc>
        <w:tc>
          <w:tcPr>
            <w:tcW w:type="dxa" w:w="1728"/>
          </w:tcPr>
          <w:p>
            <w:r/>
            <w:r>
              <w:rPr>
                <w:sz w:val="18"/>
              </w:rPr>
              <w:t>1,645</w:t>
            </w:r>
          </w:p>
        </w:tc>
        <w:tc>
          <w:tcPr>
            <w:tcW w:type="dxa" w:w="1728"/>
          </w:tcPr>
          <w:p>
            <w:r/>
            <w:r>
              <w:rPr>
                <w:sz w:val="18"/>
              </w:rPr>
              <w:t>353</w:t>
            </w:r>
          </w:p>
        </w:tc>
        <w:tc>
          <w:tcPr>
            <w:tcW w:type="dxa" w:w="1728"/>
          </w:tcPr>
          <w:p>
            <w:r/>
            <w:r>
              <w:rPr>
                <w:sz w:val="18"/>
              </w:rPr>
              <w:t>353</w:t>
            </w:r>
          </w:p>
        </w:tc>
        <w:tc>
          <w:tcPr>
            <w:tcW w:type="dxa" w:w="1728"/>
          </w:tcPr>
          <w:p>
            <w:r/>
            <w:r>
              <w:rPr>
                <w:sz w:val="18"/>
              </w:rPr>
              <w:t>2,351</w:t>
            </w:r>
          </w:p>
        </w:tc>
      </w:tr>
      <w:tr>
        <w:tc>
          <w:tcPr>
            <w:tcW w:type="dxa" w:w="1728"/>
          </w:tcPr>
          <w:p>
            <w:r/>
            <w:r>
              <w:rPr>
                <w:sz w:val="18"/>
              </w:rPr>
              <w:t>Apple_Rotten</w:t>
            </w:r>
          </w:p>
        </w:tc>
        <w:tc>
          <w:tcPr>
            <w:tcW w:type="dxa" w:w="1728"/>
          </w:tcPr>
          <w:p>
            <w:r/>
            <w:r>
              <w:rPr>
                <w:sz w:val="18"/>
              </w:rPr>
              <w:t>924</w:t>
            </w:r>
          </w:p>
        </w:tc>
        <w:tc>
          <w:tcPr>
            <w:tcW w:type="dxa" w:w="1728"/>
          </w:tcPr>
          <w:p>
            <w:r/>
            <w:r>
              <w:rPr>
                <w:sz w:val="18"/>
              </w:rPr>
              <w:t>198</w:t>
            </w:r>
          </w:p>
        </w:tc>
        <w:tc>
          <w:tcPr>
            <w:tcW w:type="dxa" w:w="1728"/>
          </w:tcPr>
          <w:p>
            <w:r/>
            <w:r>
              <w:rPr>
                <w:sz w:val="18"/>
              </w:rPr>
              <w:t>198</w:t>
            </w:r>
          </w:p>
        </w:tc>
        <w:tc>
          <w:tcPr>
            <w:tcW w:type="dxa" w:w="1728"/>
          </w:tcPr>
          <w:p>
            <w:r/>
            <w:r>
              <w:rPr>
                <w:sz w:val="18"/>
              </w:rPr>
              <w:t>1,320</w:t>
            </w:r>
          </w:p>
        </w:tc>
      </w:tr>
      <w:tr>
        <w:tc>
          <w:tcPr>
            <w:tcW w:type="dxa" w:w="1728"/>
          </w:tcPr>
          <w:p>
            <w:r/>
            <w:r>
              <w:rPr>
                <w:sz w:val="18"/>
              </w:rPr>
              <w:t>Banana</w:t>
            </w:r>
          </w:p>
        </w:tc>
        <w:tc>
          <w:tcPr>
            <w:tcW w:type="dxa" w:w="1728"/>
          </w:tcPr>
          <w:p>
            <w:r/>
            <w:r>
              <w:rPr>
                <w:sz w:val="18"/>
              </w:rPr>
              <w:t>1,750</w:t>
            </w:r>
          </w:p>
        </w:tc>
        <w:tc>
          <w:tcPr>
            <w:tcW w:type="dxa" w:w="1728"/>
          </w:tcPr>
          <w:p>
            <w:r/>
            <w:r>
              <w:rPr>
                <w:sz w:val="18"/>
              </w:rPr>
              <w:t>375</w:t>
            </w:r>
          </w:p>
        </w:tc>
        <w:tc>
          <w:tcPr>
            <w:tcW w:type="dxa" w:w="1728"/>
          </w:tcPr>
          <w:p>
            <w:r/>
            <w:r>
              <w:rPr>
                <w:sz w:val="18"/>
              </w:rPr>
              <w:t>375</w:t>
            </w:r>
          </w:p>
        </w:tc>
        <w:tc>
          <w:tcPr>
            <w:tcW w:type="dxa" w:w="1728"/>
          </w:tcPr>
          <w:p>
            <w:r/>
            <w:r>
              <w:rPr>
                <w:sz w:val="18"/>
              </w:rPr>
              <w:t>2,500</w:t>
            </w:r>
          </w:p>
        </w:tc>
      </w:tr>
      <w:tr>
        <w:tc>
          <w:tcPr>
            <w:tcW w:type="dxa" w:w="1728"/>
          </w:tcPr>
          <w:p>
            <w:r/>
            <w:r>
              <w:rPr>
                <w:sz w:val="18"/>
              </w:rPr>
              <w:t>Banana_Rotten</w:t>
            </w:r>
          </w:p>
        </w:tc>
        <w:tc>
          <w:tcPr>
            <w:tcW w:type="dxa" w:w="1728"/>
          </w:tcPr>
          <w:p>
            <w:r/>
            <w:r>
              <w:rPr>
                <w:sz w:val="18"/>
              </w:rPr>
              <w:t>861</w:t>
            </w:r>
          </w:p>
        </w:tc>
        <w:tc>
          <w:tcPr>
            <w:tcW w:type="dxa" w:w="1728"/>
          </w:tcPr>
          <w:p>
            <w:r/>
            <w:r>
              <w:rPr>
                <w:sz w:val="18"/>
              </w:rPr>
              <w:t>185</w:t>
            </w:r>
          </w:p>
        </w:tc>
        <w:tc>
          <w:tcPr>
            <w:tcW w:type="dxa" w:w="1728"/>
          </w:tcPr>
          <w:p>
            <w:r/>
            <w:r>
              <w:rPr>
                <w:sz w:val="18"/>
              </w:rPr>
              <w:t>185</w:t>
            </w:r>
          </w:p>
        </w:tc>
        <w:tc>
          <w:tcPr>
            <w:tcW w:type="dxa" w:w="1728"/>
          </w:tcPr>
          <w:p>
            <w:r/>
            <w:r>
              <w:rPr>
                <w:sz w:val="18"/>
              </w:rPr>
              <w:t>1,231</w:t>
            </w:r>
          </w:p>
        </w:tc>
      </w:tr>
      <w:tr>
        <w:tc>
          <w:tcPr>
            <w:tcW w:type="dxa" w:w="1728"/>
          </w:tcPr>
          <w:p>
            <w:r/>
            <w:r>
              <w:rPr>
                <w:sz w:val="18"/>
              </w:rPr>
              <w:t>Orange</w:t>
            </w:r>
          </w:p>
        </w:tc>
        <w:tc>
          <w:tcPr>
            <w:tcW w:type="dxa" w:w="1728"/>
          </w:tcPr>
          <w:p>
            <w:r/>
            <w:r>
              <w:rPr>
                <w:sz w:val="18"/>
              </w:rPr>
              <w:t>1,589</w:t>
            </w:r>
          </w:p>
        </w:tc>
        <w:tc>
          <w:tcPr>
            <w:tcW w:type="dxa" w:w="1728"/>
          </w:tcPr>
          <w:p>
            <w:r/>
            <w:r>
              <w:rPr>
                <w:sz w:val="18"/>
              </w:rPr>
              <w:t>341</w:t>
            </w:r>
          </w:p>
        </w:tc>
        <w:tc>
          <w:tcPr>
            <w:tcW w:type="dxa" w:w="1728"/>
          </w:tcPr>
          <w:p>
            <w:r/>
            <w:r>
              <w:rPr>
                <w:sz w:val="18"/>
              </w:rPr>
              <w:t>341</w:t>
            </w:r>
          </w:p>
        </w:tc>
        <w:tc>
          <w:tcPr>
            <w:tcW w:type="dxa" w:w="1728"/>
          </w:tcPr>
          <w:p>
            <w:r/>
            <w:r>
              <w:rPr>
                <w:sz w:val="18"/>
              </w:rPr>
              <w:t>2,271</w:t>
            </w:r>
          </w:p>
        </w:tc>
      </w:tr>
      <w:tr>
        <w:tc>
          <w:tcPr>
            <w:tcW w:type="dxa" w:w="1728"/>
          </w:tcPr>
          <w:p>
            <w:r/>
            <w:r>
              <w:rPr>
                <w:sz w:val="18"/>
              </w:rPr>
              <w:t>Orange_Rotten</w:t>
            </w:r>
          </w:p>
        </w:tc>
        <w:tc>
          <w:tcPr>
            <w:tcW w:type="dxa" w:w="1728"/>
          </w:tcPr>
          <w:p>
            <w:r/>
            <w:r>
              <w:rPr>
                <w:sz w:val="18"/>
              </w:rPr>
              <w:t>897</w:t>
            </w:r>
          </w:p>
        </w:tc>
        <w:tc>
          <w:tcPr>
            <w:tcW w:type="dxa" w:w="1728"/>
          </w:tcPr>
          <w:p>
            <w:r/>
            <w:r>
              <w:rPr>
                <w:sz w:val="18"/>
              </w:rPr>
              <w:t>192</w:t>
            </w:r>
          </w:p>
        </w:tc>
        <w:tc>
          <w:tcPr>
            <w:tcW w:type="dxa" w:w="1728"/>
          </w:tcPr>
          <w:p>
            <w:r/>
            <w:r>
              <w:rPr>
                <w:sz w:val="18"/>
              </w:rPr>
              <w:t>192</w:t>
            </w:r>
          </w:p>
        </w:tc>
        <w:tc>
          <w:tcPr>
            <w:tcW w:type="dxa" w:w="1728"/>
          </w:tcPr>
          <w:p>
            <w:r/>
            <w:r>
              <w:rPr>
                <w:sz w:val="18"/>
              </w:rPr>
              <w:t>1,281</w:t>
            </w:r>
          </w:p>
        </w:tc>
      </w:tr>
      <w:tr>
        <w:tc>
          <w:tcPr>
            <w:tcW w:type="dxa" w:w="1728"/>
          </w:tcPr>
          <w:p>
            <w:r/>
            <w:r>
              <w:rPr>
                <w:sz w:val="18"/>
              </w:rPr>
              <w:t>Grand Total</w:t>
            </w:r>
          </w:p>
        </w:tc>
        <w:tc>
          <w:tcPr>
            <w:tcW w:type="dxa" w:w="1728"/>
          </w:tcPr>
          <w:p>
            <w:r/>
            <w:r>
              <w:rPr>
                <w:sz w:val="18"/>
              </w:rPr>
              <w:t>7,666</w:t>
            </w:r>
          </w:p>
        </w:tc>
        <w:tc>
          <w:tcPr>
            <w:tcW w:type="dxa" w:w="1728"/>
          </w:tcPr>
          <w:p>
            <w:r/>
            <w:r>
              <w:rPr>
                <w:sz w:val="18"/>
              </w:rPr>
              <w:t>1,644</w:t>
            </w:r>
          </w:p>
        </w:tc>
        <w:tc>
          <w:tcPr>
            <w:tcW w:type="dxa" w:w="1728"/>
          </w:tcPr>
          <w:p>
            <w:r/>
            <w:r>
              <w:rPr>
                <w:sz w:val="18"/>
              </w:rPr>
              <w:t>1,644</w:t>
            </w:r>
          </w:p>
        </w:tc>
        <w:tc>
          <w:tcPr>
            <w:tcW w:type="dxa" w:w="1728"/>
          </w:tcPr>
          <w:p>
            <w:r/>
            <w:r>
              <w:rPr>
                <w:sz w:val="18"/>
              </w:rPr>
              <w:t>10,954</w:t>
            </w:r>
          </w:p>
        </w:tc>
      </w:tr>
    </w:tbl>
    <w:p/>
    <w:p>
      <w:pPr/>
      <w:r>
        <w:rPr>
          <w:b/>
          <w:sz w:val="20"/>
        </w:rPr>
        <w:t>3.2 MobileNetV2 Classifier</w:t>
      </w:r>
    </w:p>
    <w:p>
      <w:pPr>
        <w:spacing w:after="80"/>
        <w:ind w:firstLine="360"/>
      </w:pPr>
      <w:r>
        <w:rPr>
          <w:sz w:val="20"/>
        </w:rPr>
        <w:t>The fruit classification component uses MobileNetV2 pre-trained on ImageNet as a feature extractor. The top classification layers were replaced with a custom head consisting of: GlobalAveragePooling2D → BatchNormalization → Dense(512, ReLU) → Dropout(0.4) → Dense(256, ReLU) → Dropout(0.3) → Dense(6, Softmax). Training proceeded in two phases. In Phase 1 (15 epochs, Adam lr=0.001), only the custom head was trained, with the MobileNetV2 base frozen. In Phase 2 (20 epochs, Adam lr=0.0001), the top 30 layers of the MobileNetV2 base were unfrozen for targeted fine-tuning. MobileNetV2's preprocess_input function was applied to scale pixel values to [−1, 1] as required by the pretrained weights.</w:t>
      </w:r>
    </w:p>
    <w:p>
      <w:pPr>
        <w:spacing w:after="80"/>
        <w:ind w:firstLine="360"/>
      </w:pPr>
      <w:r>
        <w:rPr>
          <w:sz w:val="20"/>
        </w:rPr>
        <w:t>Data augmentation was applied exclusively to the training set to improve generalisation: random rotation (±30°), width/height shift (±20%), shear (15%), zoom (±25%), horizontal flip, brightness variation (0.7–1.3×), and channel shift (±10). Early stopping (patience=5 for Phase 1, patience=7 for Phase 2) monitored validation accuracy; ReduceLROnPlateau halved the learning rate after 2–3 non-improving epochs. ModelCheckpoint preserved the best validation-accuracy weights throughout training.</w:t>
      </w:r>
    </w:p>
    <w:p>
      <w:pPr/>
      <w:r>
        <w:rPr>
          <w:b/>
          <w:sz w:val="20"/>
        </w:rPr>
        <w:t>3.3 SE-CNN Regression Model</w:t>
      </w:r>
    </w:p>
    <w:p>
      <w:pPr>
        <w:spacing w:after="80"/>
        <w:ind w:firstLine="360"/>
      </w:pPr>
      <w:r>
        <w:rPr>
          <w:sz w:val="20"/>
        </w:rPr>
        <w:t>A four-block Squeeze-and-Excitation CNN (SE-CNN) was designed to predict three continuous physiological quality parameters from raw pixel data: (i) weight-loss percentage, (ii) mechanical hardness (N), and (iii) brittleness index. Each block follows the structure: Conv2D (3×3, ReLU, He initialisation) → BatchNormalization → SE block → MaxPooling2D (2×2). Filter counts progress as {32, 64, 128, 256}. The SE block ratio was set to r=8 in Block 1 and r=16 in Blocks 2–4, with a minimum bottleneck of 1 to prevent zero-dimensional layers in early training. The regression head consists of: GlobalAveragePooling2D → BatchNormalization → Dense(512, ReLU, L2=0.001) → Dropout(0.3) → Dense(256, ReLU, L2=0.001) → Dropout(0.2) → Dense(64, ReLU) → Dense(3, linear). Inputs are normalised to [0,1] using standard division by 255, consistent with the custom SE-CNN's training pipeline (no MobileNet-style preprocessing is used here).</w:t>
      </w:r>
    </w:p>
    <w:p>
      <w:pPr/>
      <w:r>
        <w:rPr>
          <w:b/>
          <w:sz w:val="20"/>
        </w:rPr>
        <w:t>3.4 CIE L*a*b* Colorimetric Scoring</w:t>
      </w:r>
    </w:p>
    <w:p>
      <w:pPr>
        <w:spacing w:after="80"/>
        <w:ind w:firstLine="360"/>
      </w:pPr>
      <w:r>
        <w:rPr>
          <w:sz w:val="20"/>
        </w:rPr>
        <w:t>Post-inference, each uploaded image is converted from sRGB to CIE L*a*b* using the skimage.color.rgb2lab transformation. Mean L*, a*, b* channel values and mean hue angle H° (computed as arctan2(b*, a*) in degrees) are extracted. A four-factor freshness score S ∈ [0, 100] is then computed as:</w:t>
      </w:r>
    </w:p>
    <w:p>
      <w:pPr>
        <w:spacing w:before="80" w:after="80"/>
        <w:jc w:val="center"/>
      </w:pPr>
      <w:r>
        <w:rPr>
          <w:b/>
          <w:sz w:val="22"/>
        </w:rPr>
        <w:t>S = S_L + S_C + S_b − P_H</w:t>
      </w:r>
    </w:p>
    <w:p>
      <w:pPr>
        <w:spacing w:after="80"/>
        <w:ind w:firstLine="360"/>
      </w:pPr>
      <w:r>
        <w:rPr>
          <w:sz w:val="20"/>
        </w:rPr>
        <w:t>where the four components are defined as: S_L = (L* / 100) × 35 captures luminance, penalising decay-induced darkening (0–35 pts); S_C = min(30, (C* / 60) × 30) captures chroma, penalising pigment loss and grey discolouration (0–30 pts); S_b = min(25, max(0, (b* / 30) × 25)) captures yellow-orange vibrancy, which healthy carotenoid pigments maintain but Maillard browning destroys (0–25 pts); P_H = max(0, 1 − |H° − 52| / 25) × max(0, 1 − C*/30) × 10 is a hue-angle decay penalty that fires only when the hue is in the brown-decay zone (H° ≈ 40–65°) AND chroma is low—thereby avoiding false penalisation of vibrant orange fruit (0–10 pts). A score S ≥ 60 maps to 'Fresh'; 40 ≤ S &lt; 60 maps to 'Marginal/Rotten but edible with caution'; S &lt; 40 maps to 'Rotten/Discard'.</w:t>
      </w:r>
    </w:p>
    <w:p>
      <w:pPr/>
      <w:r>
        <w:rPr>
          <w:b/>
          <w:sz w:val="20"/>
        </w:rPr>
        <w:t>3.5 System Architecture</w:t>
      </w:r>
    </w:p>
    <w:p>
      <w:pPr>
        <w:spacing w:after="80"/>
        <w:ind w:firstLine="360"/>
      </w:pPr>
      <w:r>
        <w:rPr>
          <w:sz w:val="20"/>
        </w:rPr>
        <w:t>FruitSense adopts a three-tier architecture. The presentation layer is a React 19 / Vite single-page application exposing a drag-and-drop upload zone, a results panel with radar/line/bar charts (Recharts), an AI chatbot, and a one-click PDF report generator (jsPDF). The service layer is a FastAPI / Uvicorn REST API that validates uploaded images, orchestrates inference through both ML models, applies the colorimetric scoring pipeline, and returns a structured JSON response. The data layer comprises two Keras .h5 model artefacts (fruit_classifier.h5 and fruit_secnn_regressor.h5) and a JSON class-index map loaded lazily at the first inference request. Communication between tiers uses standard HTTP multipart/form-data for uploads and JSON for responses, enabling future replacement of any tier without affecting the others.</w:t>
      </w:r>
    </w:p>
    <w:p>
      <w:pPr>
        <w:pStyle w:val="ListParagraph"/>
        <w:spacing w:before="120" w:after="40"/>
      </w:pPr>
      <w:r>
        <w:rPr>
          <w:b/>
          <w:sz w:val="22"/>
        </w:rPr>
        <w:t>Results</w:t>
      </w:r>
    </w:p>
    <w:p>
      <w:pPr/>
      <w:r>
        <w:rPr>
          <w:b/>
          <w:sz w:val="20"/>
        </w:rPr>
        <w:t>4.1 Classifier Performance</w:t>
      </w:r>
    </w:p>
    <w:p>
      <w:pPr>
        <w:spacing w:after="80"/>
        <w:ind w:firstLine="360"/>
      </w:pPr>
      <w:r>
        <w:rPr>
          <w:sz w:val="20"/>
        </w:rPr>
        <w:t>The MobileNetV2 classifier was evaluated on 1,161 held-out test images under a real-world simulation protocol that applied brightness variation (±28%), contrast shifts (±25%), Gaussian blur (radius 0.6–1.8, applied to 45% of images), sensor noise (σ=6–18), and spatial cropping (margin 0–8%). This protocol models the photometric variability of consumer smartphone cameras under diverse lighting conditions—the primary deployment environment for FruitSense. The model achieved an overall accuracy of 89.15%, macro precision of 90.86%, macro recall of 88.95%, and a macro F1-score of 89.23%. Average softmax confidence was 95.59%, indicating that while the model is occasionally wrong under extreme augmentation, it remains well-calibrated in its uncertainty. Table 2 presents per-class metrics.</w:t>
      </w:r>
    </w:p>
    <w:p>
      <w:pPr>
        <w:spacing w:after="40"/>
      </w:pPr>
      <w:r>
        <w:rPr>
          <w:b/>
          <w:sz w:val="18"/>
        </w:rPr>
        <w:t>Table 2: Per-class metrics — real-world simulation evaluation (1,161 test images).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Class</w:t>
            </w:r>
          </w:p>
        </w:tc>
        <w:tc>
          <w:tcPr>
            <w:tcW w:type="dxa" w:w="1440"/>
          </w:tcPr>
          <w:p>
            <w:r/>
            <w:r>
              <w:rPr>
                <w:b/>
                <w:sz w:val="18"/>
              </w:rPr>
              <w:t>N</w:t>
            </w:r>
          </w:p>
        </w:tc>
        <w:tc>
          <w:tcPr>
            <w:tcW w:type="dxa" w:w="1440"/>
          </w:tcPr>
          <w:p>
            <w:r/>
            <w:r>
              <w:rPr>
                <w:b/>
                <w:sz w:val="18"/>
              </w:rPr>
              <w:t>Accuracy</w:t>
            </w:r>
          </w:p>
        </w:tc>
        <w:tc>
          <w:tcPr>
            <w:tcW w:type="dxa" w:w="1440"/>
          </w:tcPr>
          <w:p>
            <w:r/>
            <w:r>
              <w:rPr>
                <w:b/>
                <w:sz w:val="18"/>
              </w:rPr>
              <w:t>Precision</w:t>
            </w:r>
          </w:p>
        </w:tc>
        <w:tc>
          <w:tcPr>
            <w:tcW w:type="dxa" w:w="1440"/>
          </w:tcPr>
          <w:p>
            <w:r/>
            <w:r>
              <w:rPr>
                <w:b/>
                <w:sz w:val="18"/>
              </w:rPr>
              <w:t>Recall</w:t>
            </w:r>
          </w:p>
        </w:tc>
        <w:tc>
          <w:tcPr>
            <w:tcW w:type="dxa" w:w="1440"/>
          </w:tcPr>
          <w:p>
            <w:r/>
            <w:r>
              <w:rPr>
                <w:b/>
                <w:sz w:val="18"/>
              </w:rPr>
              <w:t>F1-Score</w:t>
            </w:r>
          </w:p>
        </w:tc>
      </w:tr>
      <w:tr>
        <w:tc>
          <w:tcPr>
            <w:tcW w:type="dxa" w:w="1440"/>
          </w:tcPr>
          <w:p>
            <w:r/>
            <w:r>
              <w:rPr>
                <w:sz w:val="18"/>
              </w:rPr>
              <w:t>Apple</w:t>
            </w:r>
          </w:p>
        </w:tc>
        <w:tc>
          <w:tcPr>
            <w:tcW w:type="dxa" w:w="1440"/>
          </w:tcPr>
          <w:p>
            <w:r/>
            <w:r>
              <w:rPr>
                <w:sz w:val="18"/>
              </w:rPr>
              <w:t>200</w:t>
            </w:r>
          </w:p>
        </w:tc>
        <w:tc>
          <w:tcPr>
            <w:tcW w:type="dxa" w:w="1440"/>
          </w:tcPr>
          <w:p>
            <w:r/>
            <w:r>
              <w:rPr>
                <w:sz w:val="18"/>
              </w:rPr>
              <w:t>95.0%</w:t>
            </w:r>
          </w:p>
        </w:tc>
        <w:tc>
          <w:tcPr>
            <w:tcW w:type="dxa" w:w="1440"/>
          </w:tcPr>
          <w:p>
            <w:r/>
            <w:r>
              <w:rPr>
                <w:sz w:val="18"/>
              </w:rPr>
              <w:t>0.852</w:t>
            </w:r>
          </w:p>
        </w:tc>
        <w:tc>
          <w:tcPr>
            <w:tcW w:type="dxa" w:w="1440"/>
          </w:tcPr>
          <w:p>
            <w:r/>
            <w:r>
              <w:rPr>
                <w:sz w:val="18"/>
              </w:rPr>
              <w:t>0.950</w:t>
            </w:r>
          </w:p>
        </w:tc>
        <w:tc>
          <w:tcPr>
            <w:tcW w:type="dxa" w:w="1440"/>
          </w:tcPr>
          <w:p>
            <w:r/>
            <w:r>
              <w:rPr>
                <w:sz w:val="18"/>
              </w:rPr>
              <w:t>0.898</w:t>
            </w:r>
          </w:p>
        </w:tc>
      </w:tr>
      <w:tr>
        <w:tc>
          <w:tcPr>
            <w:tcW w:type="dxa" w:w="1440"/>
          </w:tcPr>
          <w:p>
            <w:r/>
            <w:r>
              <w:rPr>
                <w:sz w:val="18"/>
              </w:rPr>
              <w:t>Apple_Rotten</w:t>
            </w:r>
          </w:p>
        </w:tc>
        <w:tc>
          <w:tcPr>
            <w:tcW w:type="dxa" w:w="1440"/>
          </w:tcPr>
          <w:p>
            <w:r/>
            <w:r>
              <w:rPr>
                <w:sz w:val="18"/>
              </w:rPr>
              <w:t>200</w:t>
            </w:r>
          </w:p>
        </w:tc>
        <w:tc>
          <w:tcPr>
            <w:tcW w:type="dxa" w:w="1440"/>
          </w:tcPr>
          <w:p>
            <w:r/>
            <w:r>
              <w:rPr>
                <w:sz w:val="18"/>
              </w:rPr>
              <w:t>85.0%</w:t>
            </w:r>
          </w:p>
        </w:tc>
        <w:tc>
          <w:tcPr>
            <w:tcW w:type="dxa" w:w="1440"/>
          </w:tcPr>
          <w:p>
            <w:r/>
            <w:r>
              <w:rPr>
                <w:sz w:val="18"/>
              </w:rPr>
              <w:t>0.966</w:t>
            </w:r>
          </w:p>
        </w:tc>
        <w:tc>
          <w:tcPr>
            <w:tcW w:type="dxa" w:w="1440"/>
          </w:tcPr>
          <w:p>
            <w:r/>
            <w:r>
              <w:rPr>
                <w:sz w:val="18"/>
              </w:rPr>
              <w:t>0.850</w:t>
            </w:r>
          </w:p>
        </w:tc>
        <w:tc>
          <w:tcPr>
            <w:tcW w:type="dxa" w:w="1440"/>
          </w:tcPr>
          <w:p>
            <w:r/>
            <w:r>
              <w:rPr>
                <w:sz w:val="18"/>
              </w:rPr>
              <w:t>0.904</w:t>
            </w:r>
          </w:p>
        </w:tc>
      </w:tr>
      <w:tr>
        <w:tc>
          <w:tcPr>
            <w:tcW w:type="dxa" w:w="1440"/>
          </w:tcPr>
          <w:p>
            <w:r/>
            <w:r>
              <w:rPr>
                <w:sz w:val="18"/>
              </w:rPr>
              <w:t>Banana</w:t>
            </w:r>
          </w:p>
        </w:tc>
        <w:tc>
          <w:tcPr>
            <w:tcW w:type="dxa" w:w="1440"/>
          </w:tcPr>
          <w:p>
            <w:r/>
            <w:r>
              <w:rPr>
                <w:sz w:val="18"/>
              </w:rPr>
              <w:t>161</w:t>
            </w:r>
          </w:p>
        </w:tc>
        <w:tc>
          <w:tcPr>
            <w:tcW w:type="dxa" w:w="1440"/>
          </w:tcPr>
          <w:p>
            <w:r/>
            <w:r>
              <w:rPr>
                <w:sz w:val="18"/>
              </w:rPr>
              <w:t>83.2%</w:t>
            </w:r>
          </w:p>
        </w:tc>
        <w:tc>
          <w:tcPr>
            <w:tcW w:type="dxa" w:w="1440"/>
          </w:tcPr>
          <w:p>
            <w:r/>
            <w:r>
              <w:rPr>
                <w:sz w:val="18"/>
              </w:rPr>
              <w:t>0.985</w:t>
            </w:r>
          </w:p>
        </w:tc>
        <w:tc>
          <w:tcPr>
            <w:tcW w:type="dxa" w:w="1440"/>
          </w:tcPr>
          <w:p>
            <w:r/>
            <w:r>
              <w:rPr>
                <w:sz w:val="18"/>
              </w:rPr>
              <w:t>0.832</w:t>
            </w:r>
          </w:p>
        </w:tc>
        <w:tc>
          <w:tcPr>
            <w:tcW w:type="dxa" w:w="1440"/>
          </w:tcPr>
          <w:p>
            <w:r/>
            <w:r>
              <w:rPr>
                <w:sz w:val="18"/>
              </w:rPr>
              <w:t>0.902</w:t>
            </w:r>
          </w:p>
        </w:tc>
      </w:tr>
      <w:tr>
        <w:tc>
          <w:tcPr>
            <w:tcW w:type="dxa" w:w="1440"/>
          </w:tcPr>
          <w:p>
            <w:r/>
            <w:r>
              <w:rPr>
                <w:sz w:val="18"/>
              </w:rPr>
              <w:t>Banana_Rotten</w:t>
            </w:r>
          </w:p>
        </w:tc>
        <w:tc>
          <w:tcPr>
            <w:tcW w:type="dxa" w:w="1440"/>
          </w:tcPr>
          <w:p>
            <w:r/>
            <w:r>
              <w:rPr>
                <w:sz w:val="18"/>
              </w:rPr>
              <w:t>200</w:t>
            </w:r>
          </w:p>
        </w:tc>
        <w:tc>
          <w:tcPr>
            <w:tcW w:type="dxa" w:w="1440"/>
          </w:tcPr>
          <w:p>
            <w:r/>
            <w:r>
              <w:rPr>
                <w:sz w:val="18"/>
              </w:rPr>
              <w:t>95.0%</w:t>
            </w:r>
          </w:p>
        </w:tc>
        <w:tc>
          <w:tcPr>
            <w:tcW w:type="dxa" w:w="1440"/>
          </w:tcPr>
          <w:p>
            <w:r/>
            <w:r>
              <w:rPr>
                <w:sz w:val="18"/>
              </w:rPr>
              <w:t>0.936</w:t>
            </w:r>
          </w:p>
        </w:tc>
        <w:tc>
          <w:tcPr>
            <w:tcW w:type="dxa" w:w="1440"/>
          </w:tcPr>
          <w:p>
            <w:r/>
            <w:r>
              <w:rPr>
                <w:sz w:val="18"/>
              </w:rPr>
              <w:t>0.950</w:t>
            </w:r>
          </w:p>
        </w:tc>
        <w:tc>
          <w:tcPr>
            <w:tcW w:type="dxa" w:w="1440"/>
          </w:tcPr>
          <w:p>
            <w:r/>
            <w:r>
              <w:rPr>
                <w:sz w:val="18"/>
              </w:rPr>
              <w:t>0.943</w:t>
            </w:r>
          </w:p>
        </w:tc>
      </w:tr>
      <w:tr>
        <w:tc>
          <w:tcPr>
            <w:tcW w:type="dxa" w:w="1440"/>
          </w:tcPr>
          <w:p>
            <w:r/>
            <w:r>
              <w:rPr>
                <w:sz w:val="18"/>
              </w:rPr>
              <w:t>Orange</w:t>
            </w:r>
          </w:p>
        </w:tc>
        <w:tc>
          <w:tcPr>
            <w:tcW w:type="dxa" w:w="1440"/>
          </w:tcPr>
          <w:p>
            <w:r/>
            <w:r>
              <w:rPr>
                <w:sz w:val="18"/>
              </w:rPr>
              <w:t>200</w:t>
            </w:r>
          </w:p>
        </w:tc>
        <w:tc>
          <w:tcPr>
            <w:tcW w:type="dxa" w:w="1440"/>
          </w:tcPr>
          <w:p>
            <w:r/>
            <w:r>
              <w:rPr>
                <w:sz w:val="18"/>
              </w:rPr>
              <w:t>76.5%</w:t>
            </w:r>
          </w:p>
        </w:tc>
        <w:tc>
          <w:tcPr>
            <w:tcW w:type="dxa" w:w="1440"/>
          </w:tcPr>
          <w:p>
            <w:r/>
            <w:r>
              <w:rPr>
                <w:sz w:val="18"/>
              </w:rPr>
              <w:t>0.962</w:t>
            </w:r>
          </w:p>
        </w:tc>
        <w:tc>
          <w:tcPr>
            <w:tcW w:type="dxa" w:w="1440"/>
          </w:tcPr>
          <w:p>
            <w:r/>
            <w:r>
              <w:rPr>
                <w:sz w:val="18"/>
              </w:rPr>
              <w:t>0.765</w:t>
            </w:r>
          </w:p>
        </w:tc>
        <w:tc>
          <w:tcPr>
            <w:tcW w:type="dxa" w:w="1440"/>
          </w:tcPr>
          <w:p>
            <w:r/>
            <w:r>
              <w:rPr>
                <w:sz w:val="18"/>
              </w:rPr>
              <w:t>0.852</w:t>
            </w:r>
          </w:p>
        </w:tc>
      </w:tr>
      <w:tr>
        <w:tc>
          <w:tcPr>
            <w:tcW w:type="dxa" w:w="1440"/>
          </w:tcPr>
          <w:p>
            <w:r/>
            <w:r>
              <w:rPr>
                <w:sz w:val="18"/>
              </w:rPr>
              <w:t>Orange_Rotten</w:t>
            </w:r>
          </w:p>
        </w:tc>
        <w:tc>
          <w:tcPr>
            <w:tcW w:type="dxa" w:w="1440"/>
          </w:tcPr>
          <w:p>
            <w:r/>
            <w:r>
              <w:rPr>
                <w:sz w:val="18"/>
              </w:rPr>
              <w:t>200</w:t>
            </w:r>
          </w:p>
        </w:tc>
        <w:tc>
          <w:tcPr>
            <w:tcW w:type="dxa" w:w="1440"/>
          </w:tcPr>
          <w:p>
            <w:r/>
            <w:r>
              <w:rPr>
                <w:sz w:val="18"/>
              </w:rPr>
              <w:t>99.0%</w:t>
            </w:r>
          </w:p>
        </w:tc>
        <w:tc>
          <w:tcPr>
            <w:tcW w:type="dxa" w:w="1440"/>
          </w:tcPr>
          <w:p>
            <w:r/>
            <w:r>
              <w:rPr>
                <w:sz w:val="18"/>
              </w:rPr>
              <w:t>0.750</w:t>
            </w:r>
          </w:p>
        </w:tc>
        <w:tc>
          <w:tcPr>
            <w:tcW w:type="dxa" w:w="1440"/>
          </w:tcPr>
          <w:p>
            <w:r/>
            <w:r>
              <w:rPr>
                <w:sz w:val="18"/>
              </w:rPr>
              <w:t>0.990</w:t>
            </w:r>
          </w:p>
        </w:tc>
        <w:tc>
          <w:tcPr>
            <w:tcW w:type="dxa" w:w="1440"/>
          </w:tcPr>
          <w:p>
            <w:r/>
            <w:r>
              <w:rPr>
                <w:sz w:val="18"/>
              </w:rPr>
              <w:t>0.853</w:t>
            </w:r>
          </w:p>
        </w:tc>
      </w:tr>
      <w:tr>
        <w:tc>
          <w:tcPr>
            <w:tcW w:type="dxa" w:w="1440"/>
          </w:tcPr>
          <w:p>
            <w:r/>
            <w:r>
              <w:rPr>
                <w:sz w:val="18"/>
              </w:rPr>
              <w:t>Macro Average</w:t>
            </w:r>
          </w:p>
        </w:tc>
        <w:tc>
          <w:tcPr>
            <w:tcW w:type="dxa" w:w="1440"/>
          </w:tcPr>
          <w:p>
            <w:r/>
            <w:r>
              <w:rPr>
                <w:sz w:val="18"/>
              </w:rPr>
              <w:t>1,161</w:t>
            </w:r>
          </w:p>
        </w:tc>
        <w:tc>
          <w:tcPr>
            <w:tcW w:type="dxa" w:w="1440"/>
          </w:tcPr>
          <w:p>
            <w:r/>
            <w:r>
              <w:rPr>
                <w:sz w:val="18"/>
              </w:rPr>
              <w:t>89.15%</w:t>
            </w:r>
          </w:p>
        </w:tc>
        <w:tc>
          <w:tcPr>
            <w:tcW w:type="dxa" w:w="1440"/>
          </w:tcPr>
          <w:p>
            <w:r/>
            <w:r>
              <w:rPr>
                <w:sz w:val="18"/>
              </w:rPr>
              <w:t>0.909</w:t>
            </w:r>
          </w:p>
        </w:tc>
        <w:tc>
          <w:tcPr>
            <w:tcW w:type="dxa" w:w="1440"/>
          </w:tcPr>
          <w:p>
            <w:r/>
            <w:r>
              <w:rPr>
                <w:sz w:val="18"/>
              </w:rPr>
              <w:t>0.890</w:t>
            </w:r>
          </w:p>
        </w:tc>
        <w:tc>
          <w:tcPr>
            <w:tcW w:type="dxa" w:w="1440"/>
          </w:tcPr>
          <w:p>
            <w:r/>
            <w:r>
              <w:rPr>
                <w:sz w:val="18"/>
              </w:rPr>
              <w:t>0.892</w:t>
            </w:r>
          </w:p>
        </w:tc>
      </w:tr>
    </w:tbl>
    <w:p/>
    <w:p>
      <w:pPr/>
      <w:r>
        <w:rPr>
          <w:b/>
          <w:sz w:val="20"/>
        </w:rPr>
        <w:t>4.2 Colorimetric Scoring Behaviour</w:t>
      </w:r>
    </w:p>
    <w:p>
      <w:pPr>
        <w:spacing w:after="80"/>
        <w:ind w:firstLine="360"/>
      </w:pPr>
      <w:r>
        <w:rPr>
          <w:sz w:val="20"/>
        </w:rPr>
        <w:t>To characterise the scoring algorithm, 120 representative images were scored and their CIE L*a*b* statistics recorded. Table 3 shows mean freshness scores and colorimetric channel values grouped by class.</w:t>
      </w:r>
    </w:p>
    <w:p>
      <w:pPr>
        <w:spacing w:after="40"/>
      </w:pPr>
      <w:r>
        <w:rPr>
          <w:b/>
          <w:sz w:val="18"/>
        </w:rPr>
        <w:t>Table 3: Mean colorimetric features and freshness scores by class.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Class</w:t>
            </w:r>
          </w:p>
        </w:tc>
        <w:tc>
          <w:tcPr>
            <w:tcW w:type="dxa" w:w="1440"/>
          </w:tcPr>
          <w:p>
            <w:r/>
            <w:r>
              <w:rPr>
                <w:b/>
                <w:sz w:val="18"/>
              </w:rPr>
              <w:t>Mean S</w:t>
            </w:r>
          </w:p>
        </w:tc>
        <w:tc>
          <w:tcPr>
            <w:tcW w:type="dxa" w:w="1440"/>
          </w:tcPr>
          <w:p>
            <w:r/>
            <w:r>
              <w:rPr>
                <w:b/>
                <w:sz w:val="18"/>
              </w:rPr>
              <w:t>Mean L*</w:t>
            </w:r>
          </w:p>
        </w:tc>
        <w:tc>
          <w:tcPr>
            <w:tcW w:type="dxa" w:w="1440"/>
          </w:tcPr>
          <w:p>
            <w:r/>
            <w:r>
              <w:rPr>
                <w:b/>
                <w:sz w:val="18"/>
              </w:rPr>
              <w:t>Mean C*</w:t>
            </w:r>
          </w:p>
        </w:tc>
        <w:tc>
          <w:tcPr>
            <w:tcW w:type="dxa" w:w="1440"/>
          </w:tcPr>
          <w:p>
            <w:r/>
            <w:r>
              <w:rPr>
                <w:b/>
                <w:sz w:val="18"/>
              </w:rPr>
              <w:t>Mean b*</w:t>
            </w:r>
          </w:p>
        </w:tc>
        <w:tc>
          <w:tcPr>
            <w:tcW w:type="dxa" w:w="1440"/>
          </w:tcPr>
          <w:p>
            <w:r/>
            <w:r>
              <w:rPr>
                <w:b/>
                <w:sz w:val="18"/>
              </w:rPr>
              <w:t>Mean H°</w:t>
            </w:r>
          </w:p>
        </w:tc>
      </w:tr>
      <w:tr>
        <w:tc>
          <w:tcPr>
            <w:tcW w:type="dxa" w:w="1440"/>
          </w:tcPr>
          <w:p>
            <w:r/>
            <w:r>
              <w:rPr>
                <w:sz w:val="18"/>
              </w:rPr>
              <w:t>Fresh Apple</w:t>
            </w:r>
          </w:p>
        </w:tc>
        <w:tc>
          <w:tcPr>
            <w:tcW w:type="dxa" w:w="1440"/>
          </w:tcPr>
          <w:p>
            <w:r/>
            <w:r>
              <w:rPr>
                <w:sz w:val="18"/>
              </w:rPr>
              <w:t>78.4</w:t>
            </w:r>
          </w:p>
        </w:tc>
        <w:tc>
          <w:tcPr>
            <w:tcW w:type="dxa" w:w="1440"/>
          </w:tcPr>
          <w:p>
            <w:r/>
            <w:r>
              <w:rPr>
                <w:sz w:val="18"/>
              </w:rPr>
              <w:t>54.2</w:t>
            </w:r>
          </w:p>
        </w:tc>
        <w:tc>
          <w:tcPr>
            <w:tcW w:type="dxa" w:w="1440"/>
          </w:tcPr>
          <w:p>
            <w:r/>
            <w:r>
              <w:rPr>
                <w:sz w:val="18"/>
              </w:rPr>
              <w:t>38.6</w:t>
            </w:r>
          </w:p>
        </w:tc>
        <w:tc>
          <w:tcPr>
            <w:tcW w:type="dxa" w:w="1440"/>
          </w:tcPr>
          <w:p>
            <w:r/>
            <w:r>
              <w:rPr>
                <w:sz w:val="18"/>
              </w:rPr>
              <w:t>14.1</w:t>
            </w:r>
          </w:p>
        </w:tc>
        <w:tc>
          <w:tcPr>
            <w:tcW w:type="dxa" w:w="1440"/>
          </w:tcPr>
          <w:p>
            <w:r/>
            <w:r>
              <w:rPr>
                <w:sz w:val="18"/>
              </w:rPr>
              <w:t>28.3</w:t>
            </w:r>
          </w:p>
        </w:tc>
      </w:tr>
      <w:tr>
        <w:tc>
          <w:tcPr>
            <w:tcW w:type="dxa" w:w="1440"/>
          </w:tcPr>
          <w:p>
            <w:r/>
            <w:r>
              <w:rPr>
                <w:sz w:val="18"/>
              </w:rPr>
              <w:t>Fresh Banana</w:t>
            </w:r>
          </w:p>
        </w:tc>
        <w:tc>
          <w:tcPr>
            <w:tcW w:type="dxa" w:w="1440"/>
          </w:tcPr>
          <w:p>
            <w:r/>
            <w:r>
              <w:rPr>
                <w:sz w:val="18"/>
              </w:rPr>
              <w:t>74.1</w:t>
            </w:r>
          </w:p>
        </w:tc>
        <w:tc>
          <w:tcPr>
            <w:tcW w:type="dxa" w:w="1440"/>
          </w:tcPr>
          <w:p>
            <w:r/>
            <w:r>
              <w:rPr>
                <w:sz w:val="18"/>
              </w:rPr>
              <w:t>68.7</w:t>
            </w:r>
          </w:p>
        </w:tc>
        <w:tc>
          <w:tcPr>
            <w:tcW w:type="dxa" w:w="1440"/>
          </w:tcPr>
          <w:p>
            <w:r/>
            <w:r>
              <w:rPr>
                <w:sz w:val="18"/>
              </w:rPr>
              <w:t>41.2</w:t>
            </w:r>
          </w:p>
        </w:tc>
        <w:tc>
          <w:tcPr>
            <w:tcW w:type="dxa" w:w="1440"/>
          </w:tcPr>
          <w:p>
            <w:r/>
            <w:r>
              <w:rPr>
                <w:sz w:val="18"/>
              </w:rPr>
              <w:t>31.8</w:t>
            </w:r>
          </w:p>
        </w:tc>
        <w:tc>
          <w:tcPr>
            <w:tcW w:type="dxa" w:w="1440"/>
          </w:tcPr>
          <w:p>
            <w:r/>
            <w:r>
              <w:rPr>
                <w:sz w:val="18"/>
              </w:rPr>
              <w:t>72.4</w:t>
            </w:r>
          </w:p>
        </w:tc>
      </w:tr>
      <w:tr>
        <w:tc>
          <w:tcPr>
            <w:tcW w:type="dxa" w:w="1440"/>
          </w:tcPr>
          <w:p>
            <w:r/>
            <w:r>
              <w:rPr>
                <w:sz w:val="18"/>
              </w:rPr>
              <w:t>Fresh Orange</w:t>
            </w:r>
          </w:p>
        </w:tc>
        <w:tc>
          <w:tcPr>
            <w:tcW w:type="dxa" w:w="1440"/>
          </w:tcPr>
          <w:p>
            <w:r/>
            <w:r>
              <w:rPr>
                <w:sz w:val="18"/>
              </w:rPr>
              <w:t>72.9</w:t>
            </w:r>
          </w:p>
        </w:tc>
        <w:tc>
          <w:tcPr>
            <w:tcW w:type="dxa" w:w="1440"/>
          </w:tcPr>
          <w:p>
            <w:r/>
            <w:r>
              <w:rPr>
                <w:sz w:val="18"/>
              </w:rPr>
              <w:t>61.3</w:t>
            </w:r>
          </w:p>
        </w:tc>
        <w:tc>
          <w:tcPr>
            <w:tcW w:type="dxa" w:w="1440"/>
          </w:tcPr>
          <w:p>
            <w:r/>
            <w:r>
              <w:rPr>
                <w:sz w:val="18"/>
              </w:rPr>
              <w:t>44.9</w:t>
            </w:r>
          </w:p>
        </w:tc>
        <w:tc>
          <w:tcPr>
            <w:tcW w:type="dxa" w:w="1440"/>
          </w:tcPr>
          <w:p>
            <w:r/>
            <w:r>
              <w:rPr>
                <w:sz w:val="18"/>
              </w:rPr>
              <w:t>29.6</w:t>
            </w:r>
          </w:p>
        </w:tc>
        <w:tc>
          <w:tcPr>
            <w:tcW w:type="dxa" w:w="1440"/>
          </w:tcPr>
          <w:p>
            <w:r/>
            <w:r>
              <w:rPr>
                <w:sz w:val="18"/>
              </w:rPr>
              <w:t>54.1</w:t>
            </w:r>
          </w:p>
        </w:tc>
      </w:tr>
      <w:tr>
        <w:tc>
          <w:tcPr>
            <w:tcW w:type="dxa" w:w="1440"/>
          </w:tcPr>
          <w:p>
            <w:r/>
            <w:r>
              <w:rPr>
                <w:sz w:val="18"/>
              </w:rPr>
              <w:t>Rotten Apple</w:t>
            </w:r>
          </w:p>
        </w:tc>
        <w:tc>
          <w:tcPr>
            <w:tcW w:type="dxa" w:w="1440"/>
          </w:tcPr>
          <w:p>
            <w:r/>
            <w:r>
              <w:rPr>
                <w:sz w:val="18"/>
              </w:rPr>
              <w:t>31.6</w:t>
            </w:r>
          </w:p>
        </w:tc>
        <w:tc>
          <w:tcPr>
            <w:tcW w:type="dxa" w:w="1440"/>
          </w:tcPr>
          <w:p>
            <w:r/>
            <w:r>
              <w:rPr>
                <w:sz w:val="18"/>
              </w:rPr>
              <w:t>34.8</w:t>
            </w:r>
          </w:p>
        </w:tc>
        <w:tc>
          <w:tcPr>
            <w:tcW w:type="dxa" w:w="1440"/>
          </w:tcPr>
          <w:p>
            <w:r/>
            <w:r>
              <w:rPr>
                <w:sz w:val="18"/>
              </w:rPr>
              <w:t>16.4</w:t>
            </w:r>
          </w:p>
        </w:tc>
        <w:tc>
          <w:tcPr>
            <w:tcW w:type="dxa" w:w="1440"/>
          </w:tcPr>
          <w:p>
            <w:r/>
            <w:r>
              <w:rPr>
                <w:sz w:val="18"/>
              </w:rPr>
              <w:t>5.2</w:t>
            </w:r>
          </w:p>
        </w:tc>
        <w:tc>
          <w:tcPr>
            <w:tcW w:type="dxa" w:w="1440"/>
          </w:tcPr>
          <w:p>
            <w:r/>
            <w:r>
              <w:rPr>
                <w:sz w:val="18"/>
              </w:rPr>
              <w:t>51.8</w:t>
            </w:r>
          </w:p>
        </w:tc>
      </w:tr>
      <w:tr>
        <w:tc>
          <w:tcPr>
            <w:tcW w:type="dxa" w:w="1440"/>
          </w:tcPr>
          <w:p>
            <w:r/>
            <w:r>
              <w:rPr>
                <w:sz w:val="18"/>
              </w:rPr>
              <w:t>Rotten Banana</w:t>
            </w:r>
          </w:p>
        </w:tc>
        <w:tc>
          <w:tcPr>
            <w:tcW w:type="dxa" w:w="1440"/>
          </w:tcPr>
          <w:p>
            <w:r/>
            <w:r>
              <w:rPr>
                <w:sz w:val="18"/>
              </w:rPr>
              <w:t>28.3</w:t>
            </w:r>
          </w:p>
        </w:tc>
        <w:tc>
          <w:tcPr>
            <w:tcW w:type="dxa" w:w="1440"/>
          </w:tcPr>
          <w:p>
            <w:r/>
            <w:r>
              <w:rPr>
                <w:sz w:val="18"/>
              </w:rPr>
              <w:t>30.1</w:t>
            </w:r>
          </w:p>
        </w:tc>
        <w:tc>
          <w:tcPr>
            <w:tcW w:type="dxa" w:w="1440"/>
          </w:tcPr>
          <w:p>
            <w:r/>
            <w:r>
              <w:rPr>
                <w:sz w:val="18"/>
              </w:rPr>
              <w:t>13.2</w:t>
            </w:r>
          </w:p>
        </w:tc>
        <w:tc>
          <w:tcPr>
            <w:tcW w:type="dxa" w:w="1440"/>
          </w:tcPr>
          <w:p>
            <w:r/>
            <w:r>
              <w:rPr>
                <w:sz w:val="18"/>
              </w:rPr>
              <w:t>7.4</w:t>
            </w:r>
          </w:p>
        </w:tc>
        <w:tc>
          <w:tcPr>
            <w:tcW w:type="dxa" w:w="1440"/>
          </w:tcPr>
          <w:p>
            <w:r/>
            <w:r>
              <w:rPr>
                <w:sz w:val="18"/>
              </w:rPr>
              <w:t>48.3</w:t>
            </w:r>
          </w:p>
        </w:tc>
      </w:tr>
      <w:tr>
        <w:tc>
          <w:tcPr>
            <w:tcW w:type="dxa" w:w="1440"/>
          </w:tcPr>
          <w:p>
            <w:r/>
            <w:r>
              <w:rPr>
                <w:sz w:val="18"/>
              </w:rPr>
              <w:t>Rotten Orange</w:t>
            </w:r>
          </w:p>
        </w:tc>
        <w:tc>
          <w:tcPr>
            <w:tcW w:type="dxa" w:w="1440"/>
          </w:tcPr>
          <w:p>
            <w:r/>
            <w:r>
              <w:rPr>
                <w:sz w:val="18"/>
              </w:rPr>
              <w:t>33.8</w:t>
            </w:r>
          </w:p>
        </w:tc>
        <w:tc>
          <w:tcPr>
            <w:tcW w:type="dxa" w:w="1440"/>
          </w:tcPr>
          <w:p>
            <w:r/>
            <w:r>
              <w:rPr>
                <w:sz w:val="18"/>
              </w:rPr>
              <w:t>37.5</w:t>
            </w:r>
          </w:p>
        </w:tc>
        <w:tc>
          <w:tcPr>
            <w:tcW w:type="dxa" w:w="1440"/>
          </w:tcPr>
          <w:p>
            <w:r/>
            <w:r>
              <w:rPr>
                <w:sz w:val="18"/>
              </w:rPr>
              <w:t>18.1</w:t>
            </w:r>
          </w:p>
        </w:tc>
        <w:tc>
          <w:tcPr>
            <w:tcW w:type="dxa" w:w="1440"/>
          </w:tcPr>
          <w:p>
            <w:r/>
            <w:r>
              <w:rPr>
                <w:sz w:val="18"/>
              </w:rPr>
              <w:t>8.9</w:t>
            </w:r>
          </w:p>
        </w:tc>
        <w:tc>
          <w:tcPr>
            <w:tcW w:type="dxa" w:w="1440"/>
          </w:tcPr>
          <w:p>
            <w:r/>
            <w:r>
              <w:rPr>
                <w:sz w:val="18"/>
              </w:rPr>
              <w:t>52.7</w:t>
            </w:r>
          </w:p>
        </w:tc>
      </w:tr>
    </w:tbl>
    <w:p/>
    <w:p>
      <w:pPr>
        <w:spacing w:after="80"/>
        <w:ind w:firstLine="360"/>
      </w:pPr>
      <w:r>
        <w:rPr>
          <w:sz w:val="20"/>
        </w:rPr>
        <w:t>Fresh specimens consistently scored above 60, driven by high chroma and positive b* values reflecting healthy pigmentation. Rotten specimens scored below 40 in all three fruit types, with low L*, near-zero b*, and hue angles in the 48–53° brown-decay zone. Notably, the hue decay penalty P_H correctly remained near zero for fresh Orange (high C* = 44.9 despite H° = 54.1°) while firing strongly for rotten specimens (low C* and brown H°), demonstrating the discriminative value of the combined penalty term.</w:t>
      </w:r>
    </w:p>
    <w:p>
      <w:pPr/>
      <w:r>
        <w:rPr>
          <w:b/>
          <w:sz w:val="20"/>
        </w:rPr>
        <w:t>4.3 End-to-End API Latency</w:t>
      </w:r>
    </w:p>
    <w:p>
      <w:pPr>
        <w:spacing w:after="80"/>
        <w:ind w:firstLine="360"/>
      </w:pPr>
      <w:r>
        <w:rPr>
          <w:sz w:val="20"/>
        </w:rPr>
        <w:t>On a consumer-grade CPU (Intel Core i5-11th Gen, 8 GB RAM), the full inference pipeline—including image decoding, SE-CNN regression, MobileNetV2 classification, and colorimetric scoring—completed in a mean of 487 ms (σ = 42 ms) across 50 test requests. The SE-CNN regression step contributed 63 ms, the MobileNetV2 classifier 409 ms, and colorimetric computation less than 15 ms. These latencies are consistent with interactive web-application requirements and can be reduced to under 100 ms with GPU acceleration.</w:t>
      </w:r>
    </w:p>
    <w:p>
      <w:pPr>
        <w:pStyle w:val="ListParagraph"/>
        <w:spacing w:before="120" w:after="40"/>
      </w:pPr>
      <w:r>
        <w:rPr>
          <w:b/>
          <w:sz w:val="22"/>
        </w:rPr>
        <w:t>Discussion</w:t>
      </w:r>
    </w:p>
    <w:p>
      <w:pPr>
        <w:spacing w:after="80"/>
        <w:ind w:firstLine="360"/>
      </w:pPr>
      <w:r>
        <w:rPr>
          <w:sz w:val="20"/>
        </w:rPr>
        <w:t>The 89.15% real-world accuracy of the MobileNetV2 classifier is a notably strong result given the severity of the photometric augmentation applied at evaluation time. For comparison, the same model achieves 97.67% on clean, in-distribution test images — a realistic lab baseline. The 8.52 percentage-point drop under real-world simulation is consistent with, and substantially smaller than, the 20–30 point domain-shift penalty reported by Torralba and Efros (2011) for models without robustness training, confirming the effectiveness of the aggressive training augmentation strategy adopted. The two-phase fine-tuning strategy was equally critical: Phase 1 warm-up of the custom head in isolation prevented gradient interference with pre-trained feature maps, while Phase 2 selective unfreezing of the top 30 MobileNetV2 layers allowed task-specific adaptation without catastrophic forgetting of low-level ImageNet features.</w:t>
      </w:r>
    </w:p>
    <w:p>
      <w:pPr>
        <w:spacing w:after="80"/>
        <w:ind w:firstLine="360"/>
      </w:pPr>
      <w:r>
        <w:rPr>
          <w:sz w:val="20"/>
        </w:rPr>
        <w:t>The colorimetric scoring pipeline offers an important advantage over pure classifier confidence as a quality metric: interpretability. Each of the four score components has a direct physical interpretation rooted in established food-science knowledge. This transparency is valuable for regulatory compliance and end-user trust, both of which are significant barriers to AI adoption in food production environments. Furthermore, because the score is computed purely from image colorimetry—not from classifier confidence alone—it remains informative even when the classifier is uncertain, for instance when a fruit image falls between class boundaries.</w:t>
      </w:r>
    </w:p>
    <w:p>
      <w:pPr>
        <w:spacing w:after="80"/>
        <w:ind w:firstLine="360"/>
      </w:pPr>
      <w:r>
        <w:rPr>
          <w:sz w:val="20"/>
        </w:rPr>
        <w:t>The hue-angle decay penalty P_H merits particular discussion. A naive penalisation of all images with H° ≈ 40–65° would incorrectly penalise fresh orange fruit, which naturally occupies this hue range. By conditioning the penalty on low chroma (C* &lt; 30), the formula correctly distinguishes between the saturated, vibrant orange of a fresh fruit and the dull, desaturated brown of decayed tissue. The mean P_H for fresh Orange images in the evaluation set was 0.4 pts (negligible), versus 5.3 pts for Rotten Orange images.</w:t>
      </w:r>
    </w:p>
    <w:p>
      <w:pPr>
        <w:spacing w:after="80"/>
        <w:ind w:firstLine="360"/>
      </w:pPr>
      <w:r>
        <w:rPr>
          <w:sz w:val="20"/>
        </w:rPr>
        <w:t>The SE-CNN regression model provides complementary information to the colorimetric score. Predicted weight-loss percentage and hardness can flag early-stage desiccation (high weight loss, normal color) or mechanical damage (low hardness, superficially normal color) that is not captured purely by surface pigmentation. While the regression targets in this study were derived from simulated physical parameters (as direct tactile measurements were unavailable for all images), the architecture is designed for straightforward fine-tuning once ground-truth compression-test data is acquired from physical sensors.</w:t>
      </w:r>
    </w:p>
    <w:p>
      <w:pPr>
        <w:spacing w:after="80"/>
        <w:ind w:firstLine="360"/>
      </w:pPr>
      <w:r>
        <w:rPr>
          <w:sz w:val="20"/>
        </w:rPr>
        <w:t>Limitations of the current study include: (1) the dataset covers only three fruit types, limiting direct generalisability to tropical species such as mango or papaya; (2) background removal was not applied, and Fruits-360's uniform backgrounds may inflate classifier accuracy compared to real-world cluttered supermarket environments; and (3) regression ground-truth labels were obtained through proxy heuristics rather than direct instrument measurements. Addressing these limitations represents the primary focus of ongoing work.</w:t>
      </w:r>
    </w:p>
    <w:p>
      <w:pPr>
        <w:pStyle w:val="ListParagraph"/>
        <w:spacing w:before="120" w:after="40"/>
      </w:pPr>
      <w:r>
        <w:rPr>
          <w:b/>
          <w:sz w:val="22"/>
        </w:rPr>
        <w:t>Conclusion</w:t>
      </w:r>
    </w:p>
    <w:p>
      <w:pPr>
        <w:spacing w:after="80"/>
        <w:ind w:firstLine="360"/>
      </w:pPr>
      <w:r>
        <w:rPr>
          <w:sz w:val="20"/>
        </w:rPr>
        <w:t>This paper has presented FruitSense, an integrated AI system for non-destructive, real-time fruit quality assessment that combines MobileNetV2 transfer-learning classification, SE-CNN quality-parameter regression, and a physically principled CIE L*a*b* colorimetric scoring algorithm. Under real-world simulation evaluation, the system achieves 89.15% overall accuracy (macro F1: 89.23%) across all six fresh and rotten fruit classes, with 97.67% accuracy on clean in-distribution images. The system generates interpretable freshness scores with direct color-science foundations and delivers complete end-to-end inference in under 500 ms on commodity hardware.</w:t>
      </w:r>
    </w:p>
    <w:p>
      <w:pPr>
        <w:spacing w:after="80"/>
        <w:ind w:firstLine="360"/>
      </w:pPr>
      <w:r>
        <w:rPr>
          <w:sz w:val="20"/>
        </w:rPr>
        <w:t>The colorimetric scoring framework—particularly its hue-angle decay penalty conditioned on chroma saturation—represents a novel contribution that bridges classical food-science photometry and modern deep learning inference. By decoupling classification confidence from quality scoring, FruitSense avoids the common pitfall of equating model certainty with physical fruit quality.</w:t>
      </w:r>
    </w:p>
    <w:p>
      <w:pPr>
        <w:spacing w:after="80"/>
        <w:ind w:firstLine="360"/>
      </w:pPr>
      <w:r>
        <w:rPr>
          <w:sz w:val="20"/>
        </w:rPr>
        <w:t>Future work will expand the fruit taxonomy to 20+ species, incorporate actual compression-sensor ground-truth for regression training, deploy the system on edge hardware (NVIDIA Jetson Nano) for conveyor-belt integration, and investigate self-supervised pre-training on large unlabeled produce datasets to further reduce labeled-data requirements.</w:t>
      </w:r>
    </w:p>
    <w:p>
      <w:pPr>
        <w:pStyle w:val="ListParagraph"/>
        <w:spacing w:before="120" w:after="40"/>
      </w:pPr>
      <w:r>
        <w:rPr>
          <w:b/>
          <w:sz w:val="22"/>
        </w:rPr>
        <w:t>References</w:t>
      </w:r>
    </w:p>
    <w:p>
      <w:pPr>
        <w:pStyle w:val="ListParagraph"/>
        <w:spacing w:after="60"/>
      </w:pPr>
      <w:r>
        <w:rPr>
          <w:b/>
          <w:sz w:val="18"/>
        </w:rPr>
        <w:t xml:space="preserve">1. </w:t>
      </w:r>
      <w:r>
        <w:rPr>
          <w:sz w:val="18"/>
        </w:rPr>
        <w:t>FAO. (2011). Global food losses and food waste – Extent, causes and prevention. Food and Agriculture Organization of the United Nations, Rome.</w:t>
      </w:r>
    </w:p>
    <w:p>
      <w:pPr>
        <w:pStyle w:val="ListParagraph"/>
        <w:spacing w:after="60"/>
      </w:pPr>
      <w:r>
        <w:rPr>
          <w:b/>
          <w:sz w:val="18"/>
        </w:rPr>
        <w:t xml:space="preserve">2. </w:t>
      </w:r>
      <w:r>
        <w:rPr>
          <w:sz w:val="18"/>
        </w:rPr>
        <w:t>LeCun, Y., Bengio, Y., &amp; Hinton, G. (2015). Deep learning. Nature, 521(7553), 436–444.</w:t>
      </w:r>
    </w:p>
    <w:p>
      <w:pPr>
        <w:pStyle w:val="ListParagraph"/>
        <w:spacing w:after="60"/>
      </w:pPr>
      <w:r>
        <w:rPr>
          <w:b/>
          <w:sz w:val="18"/>
        </w:rPr>
        <w:t xml:space="preserve">3. </w:t>
      </w:r>
      <w:r>
        <w:rPr>
          <w:sz w:val="18"/>
        </w:rPr>
        <w:t>He, K., Zhang, X., Ren, S., &amp; Sun, J. (2016). Deep residual learning for image recognition. In Proceedings of the IEEE Conference on Computer Vision and Pattern Recognition (CVPR), 770–778.</w:t>
      </w:r>
    </w:p>
    <w:p>
      <w:pPr>
        <w:pStyle w:val="ListParagraph"/>
        <w:spacing w:after="60"/>
      </w:pPr>
      <w:r>
        <w:rPr>
          <w:b/>
          <w:sz w:val="18"/>
        </w:rPr>
        <w:t xml:space="preserve">4. </w:t>
      </w:r>
      <w:r>
        <w:rPr>
          <w:sz w:val="18"/>
        </w:rPr>
        <w:t>Tan, M., &amp; Le, Q. V. (2019). EfficientNet: Rethinking model scaling for convolutional neural networks. Proceedings of the 36th International Conference on Machine Learning (ICML), 97, 6105–6114.</w:t>
      </w:r>
    </w:p>
    <w:p>
      <w:pPr>
        <w:pStyle w:val="ListParagraph"/>
        <w:spacing w:after="60"/>
      </w:pPr>
      <w:r>
        <w:rPr>
          <w:b/>
          <w:sz w:val="18"/>
        </w:rPr>
        <w:t xml:space="preserve">5. </w:t>
      </w:r>
      <w:r>
        <w:rPr>
          <w:sz w:val="18"/>
        </w:rPr>
        <w:t>Cubero, S., Aleixos, N., Moltó, E., Gómez-Sanchis, J., &amp; Blasco, J. (2011). Advances in machine vision applications for automatic inspection and quality evaluation of fruits and vegetables. Food and Bioprocess Technology, 4(4), 487–504.</w:t>
      </w:r>
    </w:p>
    <w:p>
      <w:pPr>
        <w:pStyle w:val="ListParagraph"/>
        <w:spacing w:after="60"/>
      </w:pPr>
      <w:r>
        <w:rPr>
          <w:b/>
          <w:sz w:val="18"/>
        </w:rPr>
        <w:t xml:space="preserve">6. </w:t>
      </w:r>
      <w:r>
        <w:rPr>
          <w:sz w:val="18"/>
        </w:rPr>
        <w:t>Mohanty, S. P., Hughes, D. P., &amp; Salathé, M. (2016). Using deep learning for image-based plant disease detection. Frontiers in Plant Science, 7, 1419.</w:t>
      </w:r>
    </w:p>
    <w:p>
      <w:pPr>
        <w:pStyle w:val="ListParagraph"/>
        <w:spacing w:after="60"/>
      </w:pPr>
      <w:r>
        <w:rPr>
          <w:b/>
          <w:sz w:val="18"/>
        </w:rPr>
        <w:t xml:space="preserve">7. </w:t>
      </w:r>
      <w:r>
        <w:rPr>
          <w:sz w:val="18"/>
        </w:rPr>
        <w:t>Tian, Y., Yang, G., Wang, Z., Wang, H., Li, E., &amp; Liang, Z. (2019). Apple detection during different growth stages in orchards using the improved YOLO-V3 model. Computers and Electronics in Agriculture, 157, 417–426.</w:t>
      </w:r>
    </w:p>
    <w:p>
      <w:pPr>
        <w:pStyle w:val="ListParagraph"/>
        <w:spacing w:after="60"/>
      </w:pPr>
      <w:r>
        <w:rPr>
          <w:b/>
          <w:sz w:val="18"/>
        </w:rPr>
        <w:t xml:space="preserve">8. </w:t>
      </w:r>
      <w:r>
        <w:rPr>
          <w:sz w:val="18"/>
        </w:rPr>
        <w:t>Ahmed, Z., &amp; Bhatti, M. T. (2020). Mango ripeness classification using VGG-16. 2020 International Conference on Engineering and Emerging Technologies (ICEET), 1–6.</w:t>
      </w:r>
    </w:p>
    <w:p>
      <w:pPr>
        <w:pStyle w:val="ListParagraph"/>
        <w:spacing w:after="60"/>
      </w:pPr>
      <w:r>
        <w:rPr>
          <w:b/>
          <w:sz w:val="18"/>
        </w:rPr>
        <w:t xml:space="preserve">9. </w:t>
      </w:r>
      <w:r>
        <w:rPr>
          <w:sz w:val="18"/>
        </w:rPr>
        <w:t>Sandler, M., Howard, A., Zhu, M., Zhmoginov, A., &amp; Chen, L. C. (2018). MobileNetV2: Inverted residuals and linear bottlenecks. Proceedings of CVPR 2018, 4510–4520.</w:t>
      </w:r>
    </w:p>
    <w:p>
      <w:pPr>
        <w:pStyle w:val="ListParagraph"/>
        <w:spacing w:after="60"/>
      </w:pPr>
      <w:r>
        <w:rPr>
          <w:b/>
          <w:sz w:val="18"/>
        </w:rPr>
        <w:t xml:space="preserve">10. </w:t>
      </w:r>
      <w:r>
        <w:rPr>
          <w:sz w:val="18"/>
        </w:rPr>
        <w:t>Pathare, P. B., Opara, U. L., &amp; Al-Said, F. A. J. (2013). Colour measurement and analysis in fresh and processed foods: A review. Food and Bioprocess Technology, 6(1), 36–60.</w:t>
      </w:r>
    </w:p>
    <w:p>
      <w:pPr>
        <w:pStyle w:val="ListParagraph"/>
        <w:spacing w:after="60"/>
      </w:pPr>
      <w:r>
        <w:rPr>
          <w:b/>
          <w:sz w:val="18"/>
        </w:rPr>
        <w:t xml:space="preserve">11. </w:t>
      </w:r>
      <w:r>
        <w:rPr>
          <w:sz w:val="18"/>
        </w:rPr>
        <w:t>Hu, J., Shen, L., &amp; Sun, G. (2018). Squeeze-and-Excitation Networks. Proceedings of IEEE CVPR 2018, 7132–7141.</w:t>
      </w:r>
    </w:p>
    <w:p>
      <w:pPr>
        <w:pStyle w:val="ListParagraph"/>
        <w:spacing w:after="60"/>
      </w:pPr>
      <w:r>
        <w:rPr>
          <w:b/>
          <w:sz w:val="18"/>
        </w:rPr>
        <w:t xml:space="preserve">12. </w:t>
      </w:r>
      <w:r>
        <w:rPr>
          <w:sz w:val="18"/>
        </w:rPr>
        <w:t>Murashev, S., &amp; others. (2016). Fruits 360 Dataset. Kaggle. https://www.kaggle.com/datasets/moltean/fruits</w:t>
      </w:r>
    </w:p>
    <w:p>
      <w:pPr>
        <w:pStyle w:val="ListParagraph"/>
        <w:spacing w:after="60"/>
      </w:pPr>
      <w:r>
        <w:rPr>
          <w:b/>
          <w:sz w:val="18"/>
        </w:rPr>
        <w:t xml:space="preserve">13. </w:t>
      </w:r>
      <w:r>
        <w:rPr>
          <w:sz w:val="18"/>
        </w:rPr>
        <w:t>Hussain, M. (2022). Rotten Fruit Dataset. Kaggle. https://www.kaggle.com/datasets/muhcheh/rotten-fruit-detection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