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FruitSense: An AI-Powered Post-Harvest Fruit Quality Assessment System Using Deep Learning and Colorimetric Analysis</w:t>
      </w:r>
    </w:p>
    <w:p/>
    <w:p>
      <w:pPr>
        <w:jc w:val="center"/>
      </w:pPr>
      <w:r>
        <w:rPr>
          <w:sz w:val="24"/>
        </w:rPr>
        <w:t>Gautam Kumar</w:t>
      </w:r>
    </w:p>
    <w:p>
      <w:pPr>
        <w:jc w:val="center"/>
      </w:pPr>
      <w:r>
        <w:rPr>
          <w:i/>
          <w:sz w:val="20"/>
        </w:rPr>
        <w:t>Department of Computer Science and Engineering, SRM Institute of Science and Technology, Vadapalani Campus, India</w:t>
      </w:r>
    </w:p>
    <w:p>
      <w:pPr>
        <w:jc w:val="center"/>
      </w:pPr>
      <w:r>
        <w:rPr>
          <w:sz w:val="20"/>
        </w:rPr>
        <w:t>Corresponding Author: gautam@srmist.edu.in</w:t>
      </w:r>
    </w:p>
    <w:p/>
    <w:tbl>
      <w:tblPr>
        <w:tblStyle w:val="TableGrid"/>
        <w:tblW w:type="auto" w:w="0"/>
        <w:tblLook w:firstColumn="1" w:firstRow="1" w:lastColumn="0" w:lastRow="0" w:noHBand="0" w:noVBand="1" w:val="04A0"/>
      </w:tblPr>
      <w:tblGrid>
        <w:gridCol w:w="8640"/>
      </w:tblGrid>
      <w:tr>
        <w:tc>
          <w:tcPr>
            <w:tcW w:type="dxa" w:w="8640"/>
          </w:tcPr>
          <w:p>
            <w:r/>
            <w:r>
              <w:rPr>
                <w:b/>
                <w:sz w:val="22"/>
              </w:rPr>
              <w:t xml:space="preserve">Abstract:  </w:t>
            </w:r>
            <w:r>
              <w:rPr>
                <w:sz w:val="20"/>
              </w:rPr>
              <w:t>Post-harvest food loss, estimated at 1.3 billion tonnes annually by the FAO, is severely exacerbated by inadequate quality assessment infrastructure. This paper presents FruitSense, an end-to-end AI system for non-destructive, real-time fruit quality analysis from a single photograph. The system integrates a MobileNetV2 transfer-learning classifier trained on a merged dataset of 11,949 images spanning six classes (Apple, Apple_Rotten, Banana, Banana_Rotten, Orange, Orange_Rotten), a Squeeze-and-Excitation CNN (SE-CNN) regression model for continuous quality-parameter estimation, and a four-factor CIE L*a*b* colorimetric scoring engine. Evaluated on a held-out cross-dataset test set of 1,161 images, the MobileNetV2 classifier achieved 89.15% overall accuracy, 90.86% macro precision, 88.95% macro recall, and a macro F1-score of 89.23%. The full-stack system—comprising a FastAPI/Uvicorn REST backend and a React/Vite frontend—delivers sub-second inference on commodity CPU hardware, positioning FruitSense as a practical, scalable tool for farmers, retailers, and food supply-chain operators.</w:t>
            </w:r>
          </w:p>
          <w:p>
            <w:r>
              <w:rPr>
                <w:b/>
                <w:sz w:val="20"/>
              </w:rPr>
              <w:t xml:space="preserve">Keywords:  </w:t>
            </w:r>
            <w:r>
              <w:rPr>
                <w:sz w:val="20"/>
              </w:rPr>
              <w:t>Fruit quality assessment, MobileNetV2, transfer learning, Squeeze-and-Excitation networks, CIE L*a*b* colorimetry, post-harvest food loss, deep learning, FastAPI.</w:t>
            </w:r>
          </w:p>
        </w:tc>
      </w:tr>
    </w:tbl>
    <w:p/>
    <w:p>
      <w:r>
        <w:rPr>
          <w:b/>
          <w:sz w:val="24"/>
        </w:rPr>
        <w:t>1. Introduction</w:t>
      </w:r>
    </w:p>
    <w:p>
      <w:pPr>
        <w:ind w:firstLine="360"/>
      </w:pPr>
      <w:r>
        <w:rPr>
          <w:sz w:val="20"/>
        </w:rPr>
        <w:t>Post-harvest food loss represents one of the most pressing challenges in global food security. According to the Food and Agriculture Organization (FAO), approximately 1.3 billion tonnes of food is wasted annually, with fruits and vegetables accounting for the highest proportional losses, particularly in developing nations where 40–50% of produce perishes before reaching consumers [1]. Manual inspection by human operators remains the dominant quality-control mechanism, yet it is inherently subjective, inconsistent across inspectors, and incapable of scaling to modern high-throughput supply chains.</w:t>
      </w:r>
    </w:p>
    <w:p>
      <w:pPr>
        <w:ind w:firstLine="360"/>
      </w:pPr>
      <w:r>
        <w:rPr>
          <w:sz w:val="20"/>
        </w:rPr>
        <w:t>Convolutional Neural Networks (CNNs) trained on large annotated image datasets have demonstrated human-level performance on agricultural classification tasks [2,3]. Transfer learning—initialising a CNN with ImageNet-pretrained weights and fine-tuning on domain-specific data—has become the standard paradigm when labelled agronomic samples number in the tens of thousands [4]. However, most published fruit inspection systems output binary fresh/rotten decisions, ignoring continuous physiological proxies and classical color-science metrics that provide both interpretability and regulatory compliance.</w:t>
      </w:r>
    </w:p>
    <w:p>
      <w:pPr>
        <w:ind w:firstLine="360"/>
      </w:pPr>
      <w:r>
        <w:rPr>
          <w:sz w:val="20"/>
        </w:rPr>
        <w:t>FruitSense addresses these gaps by combining (i) a MobileNetV2 classifier for six-class fresh/rotten discrimination, (ii) an SE-CNN regressor for continuous quality-parameter estimation, and (iii) a four-factor CIE L*a*b* scoring algorithm producing a physically grounded freshness index (0–100). The system is packaged as a production-ready web application, making it immediately usable by non-specialist operators without specialist hardware.</w:t>
      </w:r>
    </w:p>
    <w:p>
      <w:r>
        <w:rPr>
          <w:b/>
          <w:sz w:val="24"/>
        </w:rPr>
        <w:t>2. Related Work</w:t>
      </w:r>
    </w:p>
    <w:p>
      <w:pPr>
        <w:ind w:firstLine="360"/>
      </w:pPr>
      <w:r>
        <w:rPr>
          <w:sz w:val="20"/>
        </w:rPr>
        <w:t>Early computational approaches to fruit quality assessment relied on handcrafted features—RGB histograms, Local Binary Patterns, and shape descriptors—fed into SVMs or k-NN classifiers [5]. These methods achieved reasonable accuracy on controlled laboratory images but generalized poorly to diverse imaging conditions. The Fruits-360 dataset (Mureşan and Oltean, 2018) enabled deep CNN approaches, with lightweight architectures achieving 99%+ accuracy on studio images [6], though such benchmarks are rarely indicative of field performance.</w:t>
      </w:r>
    </w:p>
    <w:p>
      <w:pPr>
        <w:ind w:firstLine="360"/>
      </w:pPr>
      <w:r>
        <w:rPr>
          <w:sz w:val="20"/>
        </w:rPr>
        <w:t>Transfer learning from ImageNet has consistently outperformed training from scratch on agricultural tasks [4]. MobileNetV2 [7] achieves competitive accuracy at significantly lower computational cost through inverted residual blocks and linear bottlenecks, making it the preferred backbone for CPU-deployable inspection systems. Squeeze-and-Excitation networks [8] further improve feature discrimination through channel-wise attention—particularly valuable for color-sensitive decay detection where specific spectral channels carry diagnostic information.</w:t>
      </w:r>
    </w:p>
    <w:p>
      <w:pPr>
        <w:ind w:firstLine="360"/>
      </w:pPr>
      <w:r>
        <w:rPr>
          <w:sz w:val="20"/>
        </w:rPr>
        <w:t>CIE L*a*b* colorimetric analysis has been established in food science as a reliable proxy for fruit freshness: L* decreases as decay darkens tissue; chroma C* diminishes as pigments degrade; hue angle H° shifts toward 40–65° as Maillard browning products accumulate [9]. Despite this photometric basis, most deep learning systems treat color as an implicit learned representation rather than an explicit, auditable scoring component. FruitSense is the first system to formally integrate CIE L*a*b* scoring with a gated SE-CNN regressor in a production web application.</w:t>
      </w:r>
    </w:p>
    <w:p>
      <w:r>
        <w:rPr>
          <w:b/>
          <w:sz w:val="24"/>
        </w:rPr>
        <w:t>3. Material and Methods</w:t>
      </w:r>
    </w:p>
    <w:p>
      <w:r>
        <w:rPr>
          <w:b/>
          <w:sz w:val="22"/>
        </w:rPr>
        <w:t>3.1 Dataset</w:t>
      </w:r>
    </w:p>
    <w:p>
      <w:pPr>
        <w:ind w:firstLine="360"/>
      </w:pPr>
      <w:r>
        <w:rPr>
          <w:sz w:val="20"/>
        </w:rPr>
        <w:t>The dataset comprises 11,949 images spanning six classes sourced from two repositories: the Fruits-360 dataset [10] for fresh-fruit images (uniform background, high resolution), and a supplementary rotten-fruit dataset [11] containing images of naturally decayed specimens under diverse backgrounds. All images were resized to 224×224 pixels. Per-class loss weights were computed as w_c = N_total / (C × N_c) to address class imbalance between abundant fresh and scarcer rotten categories.</w:t>
      </w:r>
    </w:p>
    <w:p>
      <w:pPr>
        <w:jc w:val="center"/>
      </w:pPr>
      <w:r>
        <w:rPr>
          <w:b/>
          <w:sz w:val="20"/>
        </w:rPr>
        <w:t>Table 1: Dataset class distribution.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B3A6B"/>
          </w:tcPr>
          <w:p>
            <w:pPr>
              <w:jc w:val="center"/>
            </w:pPr>
            <w:r>
              <w:rPr>
                <w:b/>
                <w:color w:val="FFFFFF"/>
              </w:rPr>
              <w:t>Class</w:t>
            </w:r>
          </w:p>
        </w:tc>
        <w:tc>
          <w:tcPr>
            <w:tcW w:type="dxa" w:w="1728"/>
            <w:shd w:val="clear" w:color="auto" w:fill="1B3A6B"/>
          </w:tcPr>
          <w:p>
            <w:pPr>
              <w:jc w:val="center"/>
            </w:pPr>
            <w:r>
              <w:rPr>
                <w:b/>
                <w:color w:val="FFFFFF"/>
              </w:rPr>
              <w:t>Train</w:t>
            </w:r>
          </w:p>
        </w:tc>
        <w:tc>
          <w:tcPr>
            <w:tcW w:type="dxa" w:w="1728"/>
            <w:shd w:val="clear" w:color="auto" w:fill="1B3A6B"/>
          </w:tcPr>
          <w:p>
            <w:pPr>
              <w:jc w:val="center"/>
            </w:pPr>
            <w:r>
              <w:rPr>
                <w:b/>
                <w:color w:val="FFFFFF"/>
              </w:rPr>
              <w:t>Validation</w:t>
            </w:r>
          </w:p>
        </w:tc>
        <w:tc>
          <w:tcPr>
            <w:tcW w:type="dxa" w:w="1728"/>
            <w:shd w:val="clear" w:color="auto" w:fill="1B3A6B"/>
          </w:tcPr>
          <w:p>
            <w:pPr>
              <w:jc w:val="center"/>
            </w:pPr>
            <w:r>
              <w:rPr>
                <w:b/>
                <w:color w:val="FFFFFF"/>
              </w:rPr>
              <w:t>Test</w:t>
            </w:r>
          </w:p>
        </w:tc>
        <w:tc>
          <w:tcPr>
            <w:tcW w:type="dxa" w:w="1728"/>
            <w:shd w:val="clear" w:color="auto" w:fill="1B3A6B"/>
          </w:tcPr>
          <w:p>
            <w:pPr>
              <w:jc w:val="center"/>
            </w:pPr>
            <w:r>
              <w:rPr>
                <w:b/>
                <w:color w:val="FFFFFF"/>
              </w:rPr>
              <w:t>Total</w:t>
            </w:r>
          </w:p>
        </w:tc>
      </w:tr>
      <w:tr>
        <w:tc>
          <w:tcPr>
            <w:tcW w:type="dxa" w:w="1728"/>
          </w:tcPr>
          <w:p>
            <w:pPr>
              <w:jc w:val="left"/>
            </w:pPr>
            <w:r>
              <w:t>Apple</w:t>
            </w:r>
          </w:p>
        </w:tc>
        <w:tc>
          <w:tcPr>
            <w:tcW w:type="dxa" w:w="1728"/>
          </w:tcPr>
          <w:p>
            <w:pPr>
              <w:jc w:val="center"/>
            </w:pPr>
            <w:r>
              <w:t>1,645</w:t>
            </w:r>
          </w:p>
        </w:tc>
        <w:tc>
          <w:tcPr>
            <w:tcW w:type="dxa" w:w="1728"/>
          </w:tcPr>
          <w:p>
            <w:pPr>
              <w:jc w:val="center"/>
            </w:pPr>
            <w:r>
              <w:t>353</w:t>
            </w:r>
          </w:p>
        </w:tc>
        <w:tc>
          <w:tcPr>
            <w:tcW w:type="dxa" w:w="1728"/>
          </w:tcPr>
          <w:p>
            <w:pPr>
              <w:jc w:val="center"/>
            </w:pPr>
            <w:r>
              <w:t>353</w:t>
            </w:r>
          </w:p>
        </w:tc>
        <w:tc>
          <w:tcPr>
            <w:tcW w:type="dxa" w:w="1728"/>
          </w:tcPr>
          <w:p>
            <w:pPr>
              <w:jc w:val="center"/>
            </w:pPr>
            <w:r>
              <w:t>2,351</w:t>
            </w:r>
          </w:p>
        </w:tc>
      </w:tr>
      <w:tr>
        <w:tc>
          <w:tcPr>
            <w:tcW w:type="dxa" w:w="1728"/>
            <w:shd w:val="clear" w:color="auto" w:fill="EEF2FF"/>
          </w:tcPr>
          <w:p>
            <w:pPr>
              <w:jc w:val="left"/>
            </w:pPr>
            <w:r>
              <w:t>Apple_Rotten</w:t>
            </w:r>
          </w:p>
        </w:tc>
        <w:tc>
          <w:tcPr>
            <w:tcW w:type="dxa" w:w="1728"/>
            <w:shd w:val="clear" w:color="auto" w:fill="EEF2FF"/>
          </w:tcPr>
          <w:p>
            <w:pPr>
              <w:jc w:val="center"/>
            </w:pPr>
            <w:r>
              <w:t>924</w:t>
            </w:r>
          </w:p>
        </w:tc>
        <w:tc>
          <w:tcPr>
            <w:tcW w:type="dxa" w:w="1728"/>
            <w:shd w:val="clear" w:color="auto" w:fill="EEF2FF"/>
          </w:tcPr>
          <w:p>
            <w:pPr>
              <w:jc w:val="center"/>
            </w:pPr>
            <w:r>
              <w:t>198</w:t>
            </w:r>
          </w:p>
        </w:tc>
        <w:tc>
          <w:tcPr>
            <w:tcW w:type="dxa" w:w="1728"/>
            <w:shd w:val="clear" w:color="auto" w:fill="EEF2FF"/>
          </w:tcPr>
          <w:p>
            <w:pPr>
              <w:jc w:val="center"/>
            </w:pPr>
            <w:r>
              <w:t>198</w:t>
            </w:r>
          </w:p>
        </w:tc>
        <w:tc>
          <w:tcPr>
            <w:tcW w:type="dxa" w:w="1728"/>
            <w:shd w:val="clear" w:color="auto" w:fill="EEF2FF"/>
          </w:tcPr>
          <w:p>
            <w:pPr>
              <w:jc w:val="center"/>
            </w:pPr>
            <w:r>
              <w:t>1,320</w:t>
            </w:r>
          </w:p>
        </w:tc>
      </w:tr>
      <w:tr>
        <w:tc>
          <w:tcPr>
            <w:tcW w:type="dxa" w:w="1728"/>
          </w:tcPr>
          <w:p>
            <w:pPr>
              <w:jc w:val="left"/>
            </w:pPr>
            <w:r>
              <w:t>Banana</w:t>
            </w:r>
          </w:p>
        </w:tc>
        <w:tc>
          <w:tcPr>
            <w:tcW w:type="dxa" w:w="1728"/>
          </w:tcPr>
          <w:p>
            <w:pPr>
              <w:jc w:val="center"/>
            </w:pPr>
            <w:r>
              <w:t>1,750</w:t>
            </w:r>
          </w:p>
        </w:tc>
        <w:tc>
          <w:tcPr>
            <w:tcW w:type="dxa" w:w="1728"/>
          </w:tcPr>
          <w:p>
            <w:pPr>
              <w:jc w:val="center"/>
            </w:pPr>
            <w:r>
              <w:t>375</w:t>
            </w:r>
          </w:p>
        </w:tc>
        <w:tc>
          <w:tcPr>
            <w:tcW w:type="dxa" w:w="1728"/>
          </w:tcPr>
          <w:p>
            <w:pPr>
              <w:jc w:val="center"/>
            </w:pPr>
            <w:r>
              <w:t>375</w:t>
            </w:r>
          </w:p>
        </w:tc>
        <w:tc>
          <w:tcPr>
            <w:tcW w:type="dxa" w:w="1728"/>
          </w:tcPr>
          <w:p>
            <w:pPr>
              <w:jc w:val="center"/>
            </w:pPr>
            <w:r>
              <w:t>2,500</w:t>
            </w:r>
          </w:p>
        </w:tc>
      </w:tr>
      <w:tr>
        <w:tc>
          <w:tcPr>
            <w:tcW w:type="dxa" w:w="1728"/>
            <w:shd w:val="clear" w:color="auto" w:fill="EEF2FF"/>
          </w:tcPr>
          <w:p>
            <w:pPr>
              <w:jc w:val="left"/>
            </w:pPr>
            <w:r>
              <w:t>Banana_Rotten</w:t>
            </w:r>
          </w:p>
        </w:tc>
        <w:tc>
          <w:tcPr>
            <w:tcW w:type="dxa" w:w="1728"/>
            <w:shd w:val="clear" w:color="auto" w:fill="EEF2FF"/>
          </w:tcPr>
          <w:p>
            <w:pPr>
              <w:jc w:val="center"/>
            </w:pPr>
            <w:r>
              <w:t>861</w:t>
            </w:r>
          </w:p>
        </w:tc>
        <w:tc>
          <w:tcPr>
            <w:tcW w:type="dxa" w:w="1728"/>
            <w:shd w:val="clear" w:color="auto" w:fill="EEF2FF"/>
          </w:tcPr>
          <w:p>
            <w:pPr>
              <w:jc w:val="center"/>
            </w:pPr>
            <w:r>
              <w:t>185</w:t>
            </w:r>
          </w:p>
        </w:tc>
        <w:tc>
          <w:tcPr>
            <w:tcW w:type="dxa" w:w="1728"/>
            <w:shd w:val="clear" w:color="auto" w:fill="EEF2FF"/>
          </w:tcPr>
          <w:p>
            <w:pPr>
              <w:jc w:val="center"/>
            </w:pPr>
            <w:r>
              <w:t>185</w:t>
            </w:r>
          </w:p>
        </w:tc>
        <w:tc>
          <w:tcPr>
            <w:tcW w:type="dxa" w:w="1728"/>
            <w:shd w:val="clear" w:color="auto" w:fill="EEF2FF"/>
          </w:tcPr>
          <w:p>
            <w:pPr>
              <w:jc w:val="center"/>
            </w:pPr>
            <w:r>
              <w:t>1,231</w:t>
            </w:r>
          </w:p>
        </w:tc>
      </w:tr>
      <w:tr>
        <w:tc>
          <w:tcPr>
            <w:tcW w:type="dxa" w:w="1728"/>
          </w:tcPr>
          <w:p>
            <w:pPr>
              <w:jc w:val="left"/>
            </w:pPr>
            <w:r>
              <w:t>Orange</w:t>
            </w:r>
          </w:p>
        </w:tc>
        <w:tc>
          <w:tcPr>
            <w:tcW w:type="dxa" w:w="1728"/>
          </w:tcPr>
          <w:p>
            <w:pPr>
              <w:jc w:val="center"/>
            </w:pPr>
            <w:r>
              <w:t>1,589</w:t>
            </w:r>
          </w:p>
        </w:tc>
        <w:tc>
          <w:tcPr>
            <w:tcW w:type="dxa" w:w="1728"/>
          </w:tcPr>
          <w:p>
            <w:pPr>
              <w:jc w:val="center"/>
            </w:pPr>
            <w:r>
              <w:t>341</w:t>
            </w:r>
          </w:p>
        </w:tc>
        <w:tc>
          <w:tcPr>
            <w:tcW w:type="dxa" w:w="1728"/>
          </w:tcPr>
          <w:p>
            <w:pPr>
              <w:jc w:val="center"/>
            </w:pPr>
            <w:r>
              <w:t>341</w:t>
            </w:r>
          </w:p>
        </w:tc>
        <w:tc>
          <w:tcPr>
            <w:tcW w:type="dxa" w:w="1728"/>
          </w:tcPr>
          <w:p>
            <w:pPr>
              <w:jc w:val="center"/>
            </w:pPr>
            <w:r>
              <w:t>2,271</w:t>
            </w:r>
          </w:p>
        </w:tc>
      </w:tr>
      <w:tr>
        <w:tc>
          <w:tcPr>
            <w:tcW w:type="dxa" w:w="1728"/>
            <w:shd w:val="clear" w:color="auto" w:fill="EEF2FF"/>
          </w:tcPr>
          <w:p>
            <w:pPr>
              <w:jc w:val="left"/>
            </w:pPr>
            <w:r>
              <w:t>Orange_Rotten</w:t>
            </w:r>
          </w:p>
        </w:tc>
        <w:tc>
          <w:tcPr>
            <w:tcW w:type="dxa" w:w="1728"/>
            <w:shd w:val="clear" w:color="auto" w:fill="EEF2FF"/>
          </w:tcPr>
          <w:p>
            <w:pPr>
              <w:jc w:val="center"/>
            </w:pPr>
            <w:r>
              <w:t>897</w:t>
            </w:r>
          </w:p>
        </w:tc>
        <w:tc>
          <w:tcPr>
            <w:tcW w:type="dxa" w:w="1728"/>
            <w:shd w:val="clear" w:color="auto" w:fill="EEF2FF"/>
          </w:tcPr>
          <w:p>
            <w:pPr>
              <w:jc w:val="center"/>
            </w:pPr>
            <w:r>
              <w:t>192</w:t>
            </w:r>
          </w:p>
        </w:tc>
        <w:tc>
          <w:tcPr>
            <w:tcW w:type="dxa" w:w="1728"/>
            <w:shd w:val="clear" w:color="auto" w:fill="EEF2FF"/>
          </w:tcPr>
          <w:p>
            <w:pPr>
              <w:jc w:val="center"/>
            </w:pPr>
            <w:r>
              <w:t>192</w:t>
            </w:r>
          </w:p>
        </w:tc>
        <w:tc>
          <w:tcPr>
            <w:tcW w:type="dxa" w:w="1728"/>
            <w:shd w:val="clear" w:color="auto" w:fill="EEF2FF"/>
          </w:tcPr>
          <w:p>
            <w:pPr>
              <w:jc w:val="center"/>
            </w:pPr>
            <w:r>
              <w:t>1,281</w:t>
            </w:r>
          </w:p>
        </w:tc>
      </w:tr>
      <w:tr>
        <w:tc>
          <w:tcPr>
            <w:tcW w:type="dxa" w:w="1728"/>
          </w:tcPr>
          <w:p>
            <w:pPr>
              <w:jc w:val="left"/>
            </w:pPr>
            <w:r>
              <w:t>Total</w:t>
            </w:r>
          </w:p>
        </w:tc>
        <w:tc>
          <w:tcPr>
            <w:tcW w:type="dxa" w:w="1728"/>
          </w:tcPr>
          <w:p>
            <w:pPr>
              <w:jc w:val="center"/>
            </w:pPr>
            <w:r>
              <w:t>7,666</w:t>
            </w:r>
          </w:p>
        </w:tc>
        <w:tc>
          <w:tcPr>
            <w:tcW w:type="dxa" w:w="1728"/>
          </w:tcPr>
          <w:p>
            <w:pPr>
              <w:jc w:val="center"/>
            </w:pPr>
            <w:r>
              <w:t>1,644</w:t>
            </w:r>
          </w:p>
        </w:tc>
        <w:tc>
          <w:tcPr>
            <w:tcW w:type="dxa" w:w="1728"/>
          </w:tcPr>
          <w:p>
            <w:pPr>
              <w:jc w:val="center"/>
            </w:pPr>
            <w:r>
              <w:t>1,644</w:t>
            </w:r>
          </w:p>
        </w:tc>
        <w:tc>
          <w:tcPr>
            <w:tcW w:type="dxa" w:w="1728"/>
          </w:tcPr>
          <w:p>
            <w:pPr>
              <w:jc w:val="center"/>
            </w:pPr>
            <w:r>
              <w:t>10,954</w:t>
            </w:r>
          </w:p>
        </w:tc>
      </w:tr>
    </w:tbl>
    <w:p/>
    <w:p>
      <w:r>
        <w:rPr>
          <w:b/>
          <w:sz w:val="22"/>
        </w:rPr>
        <w:t>3.2 MobileNetV2 Classifier</w:t>
      </w:r>
    </w:p>
    <w:p>
      <w:pPr>
        <w:ind w:firstLine="360"/>
      </w:pPr>
      <w:r>
        <w:rPr>
          <w:sz w:val="20"/>
        </w:rPr>
        <w:t>MobileNetV2 pretrained on ImageNet served as the feature extractor backbone. A custom classification head was appended: GlobalAveragePooling2D → BatchNormalization → Dense(512, ReLU) → Dropout(0.4) → Dense(256, ReLU) → Dropout(0.3) → Dense(6, Softmax). Training used a two-phase strategy: Phase 1 (15 epochs, Adam lr=1e-3) trained the head with a frozen base; Phase 2 (20 epochs, Adam lr=1e-4) fine-tuned the top 30 MobileNetV2 layers. MobileNetV2's preprocess_input normalised pixels to [−1, 1]. Training augmentation included rotation (±30°), translation (±20%), zoom (25%), brightness (0.7–1.3×), channel shift (±10), and horizontal flip. EarlyStopping and ReduceLROnPlateau prevented overfitting; ModelCheckpoint preserved the best validation weights.</w:t>
      </w:r>
    </w:p>
    <w:p>
      <w:r>
        <w:rPr>
          <w:b/>
          <w:sz w:val="22"/>
        </w:rPr>
        <w:t>3.3 SE-CNN Regression Model</w:t>
      </w:r>
    </w:p>
    <w:p>
      <w:pPr>
        <w:ind w:firstLine="360"/>
      </w:pPr>
      <w:r>
        <w:rPr>
          <w:sz w:val="20"/>
        </w:rPr>
        <w:t>A four-block SE-CNN regressor predicts continuous quality parameters from image data. Each block contains: Conv2D(3×3, ReLU, He init) → BatchNormalization → SE block (ratio r=8 in block 1; r=16 in blocks 2–4) → MaxPooling2D(2×2). Filter counts: {32, 64, 128, 256}. The regression head: GlobalAveragePooling2D → Dense(512, ReLU, L2=0.001) → Dropout(0.3) → Dense(256, ReLU, L2=0.001) → Dropout(0.2) → Dense(64, ReLU) → Dense(3, linear), predicting weight-loss percentage, mechanical hardness (N), and brittleness index.</w:t>
      </w:r>
    </w:p>
    <w:p>
      <w:r>
        <w:rPr>
          <w:b/>
          <w:sz w:val="22"/>
        </w:rPr>
        <w:t>3.4 CIE L*a*b* Colorimetric Scoring</w:t>
      </w:r>
    </w:p>
    <w:p>
      <w:pPr>
        <w:ind w:firstLine="360"/>
      </w:pPr>
      <w:r>
        <w:rPr>
          <w:sz w:val="20"/>
        </w:rPr>
        <w:t>Each image is converted from sRGB to CIE L*a*b* via skimage.color.rgb2lab. A freshness score S ∈ [0, 100] is computed as:</w:t>
        <w:br/>
        <w:t xml:space="preserve">    S = S_L + S_C + S_b − P_H</w:t>
        <w:br/>
        <w:t>where S_L = (L*/100)×35 (luminance, 0–35 pts); S_C = min(30, (C*/60)×30) (chroma, 0–30 pts); S_b = min(25, max(0, (b*/30)×25)) (yellow-orange vibrancy, 0–25 pts); and P_H = max(0, 1−|H°−52|/25) × max(0, 1−C*/30) × 10 (hue-angle decay penalty conditioned on low chroma, 0–10 pts). S≥60: Fresh; 40≤S&lt;60: Marginal; S&lt;40: Rotten.</w:t>
      </w:r>
    </w:p>
    <w:p>
      <w:r>
        <w:rPr>
          <w:b/>
          <w:sz w:val="24"/>
        </w:rPr>
        <w:t>4. Results</w:t>
      </w:r>
    </w:p>
    <w:p>
      <w:r>
        <w:rPr>
          <w:b/>
          <w:sz w:val="22"/>
        </w:rPr>
        <w:t>4.1 Classifier Performance</w:t>
      </w:r>
    </w:p>
    <w:p>
      <w:pPr>
        <w:ind w:firstLine="360"/>
      </w:pPr>
      <w:r>
        <w:rPr>
          <w:sz w:val="20"/>
        </w:rPr>
        <w:t>The MobileNetV2 classifier was evaluated on a held-out cross-dataset test set of 1,161 images (up to 200 per class) drawn from fresh and rotten fruit sources not included in training. The model achieved an overall accuracy of 89.15%, macro precision of 90.86%, macro recall of 88.95%, and a macro F1-score of 89.23%. Average softmax confidence was 95.59%. Table 2 presents per-class metrics. Fig. 1 shows the training curves; Fig. 2 shows the confusion matrix; Fig. 3 presents per-class metric bars.</w:t>
      </w:r>
    </w:p>
    <w:p>
      <w:pPr>
        <w:jc w:val="center"/>
      </w:pPr>
      <w:r>
        <w:rPr>
          <w:b/>
          <w:sz w:val="20"/>
        </w:rPr>
        <w:t>Table 2: Per-class classification metrics on the test set.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B3A6B"/>
          </w:tcPr>
          <w:p>
            <w:pPr>
              <w:jc w:val="center"/>
            </w:pPr>
            <w:r>
              <w:rPr>
                <w:b/>
                <w:color w:val="FFFFFF"/>
              </w:rPr>
              <w:t>Class</w:t>
            </w:r>
          </w:p>
        </w:tc>
        <w:tc>
          <w:tcPr>
            <w:tcW w:type="dxa" w:w="1440"/>
            <w:shd w:val="clear" w:color="auto" w:fill="1B3A6B"/>
          </w:tcPr>
          <w:p>
            <w:pPr>
              <w:jc w:val="center"/>
            </w:pPr>
            <w:r>
              <w:rPr>
                <w:b/>
                <w:color w:val="FFFFFF"/>
              </w:rPr>
              <w:t>N</w:t>
            </w:r>
          </w:p>
        </w:tc>
        <w:tc>
          <w:tcPr>
            <w:tcW w:type="dxa" w:w="1440"/>
            <w:shd w:val="clear" w:color="auto" w:fill="1B3A6B"/>
          </w:tcPr>
          <w:p>
            <w:pPr>
              <w:jc w:val="center"/>
            </w:pPr>
            <w:r>
              <w:rPr>
                <w:b/>
                <w:color w:val="FFFFFF"/>
              </w:rPr>
              <w:t>Accuracy</w:t>
            </w:r>
          </w:p>
        </w:tc>
        <w:tc>
          <w:tcPr>
            <w:tcW w:type="dxa" w:w="1440"/>
            <w:shd w:val="clear" w:color="auto" w:fill="1B3A6B"/>
          </w:tcPr>
          <w:p>
            <w:pPr>
              <w:jc w:val="center"/>
            </w:pPr>
            <w:r>
              <w:rPr>
                <w:b/>
                <w:color w:val="FFFFFF"/>
              </w:rPr>
              <w:t>Precision</w:t>
            </w:r>
          </w:p>
        </w:tc>
        <w:tc>
          <w:tcPr>
            <w:tcW w:type="dxa" w:w="1440"/>
            <w:shd w:val="clear" w:color="auto" w:fill="1B3A6B"/>
          </w:tcPr>
          <w:p>
            <w:pPr>
              <w:jc w:val="center"/>
            </w:pPr>
            <w:r>
              <w:rPr>
                <w:b/>
                <w:color w:val="FFFFFF"/>
              </w:rPr>
              <w:t>Recall</w:t>
            </w:r>
          </w:p>
        </w:tc>
        <w:tc>
          <w:tcPr>
            <w:tcW w:type="dxa" w:w="1440"/>
            <w:shd w:val="clear" w:color="auto" w:fill="1B3A6B"/>
          </w:tcPr>
          <w:p>
            <w:pPr>
              <w:jc w:val="center"/>
            </w:pPr>
            <w:r>
              <w:rPr>
                <w:b/>
                <w:color w:val="FFFFFF"/>
              </w:rPr>
              <w:t>F1-Score</w:t>
            </w:r>
          </w:p>
        </w:tc>
      </w:tr>
      <w:tr>
        <w:tc>
          <w:tcPr>
            <w:tcW w:type="dxa" w:w="1440"/>
          </w:tcPr>
          <w:p>
            <w:pPr>
              <w:jc w:val="left"/>
            </w:pPr>
            <w:r>
              <w:t>Apple</w:t>
            </w:r>
          </w:p>
        </w:tc>
        <w:tc>
          <w:tcPr>
            <w:tcW w:type="dxa" w:w="1440"/>
          </w:tcPr>
          <w:p>
            <w:pPr>
              <w:jc w:val="center"/>
            </w:pPr>
            <w:r>
              <w:t>200</w:t>
            </w:r>
          </w:p>
        </w:tc>
        <w:tc>
          <w:tcPr>
            <w:tcW w:type="dxa" w:w="1440"/>
          </w:tcPr>
          <w:p>
            <w:pPr>
              <w:jc w:val="center"/>
            </w:pPr>
            <w:r>
              <w:t>95.0%</w:t>
            </w:r>
          </w:p>
        </w:tc>
        <w:tc>
          <w:tcPr>
            <w:tcW w:type="dxa" w:w="1440"/>
          </w:tcPr>
          <w:p>
            <w:pPr>
              <w:jc w:val="center"/>
            </w:pPr>
            <w:r>
              <w:t>0.852</w:t>
            </w:r>
          </w:p>
        </w:tc>
        <w:tc>
          <w:tcPr>
            <w:tcW w:type="dxa" w:w="1440"/>
          </w:tcPr>
          <w:p>
            <w:pPr>
              <w:jc w:val="center"/>
            </w:pPr>
            <w:r>
              <w:t>0.950</w:t>
            </w:r>
          </w:p>
        </w:tc>
        <w:tc>
          <w:tcPr>
            <w:tcW w:type="dxa" w:w="1440"/>
          </w:tcPr>
          <w:p>
            <w:pPr>
              <w:jc w:val="center"/>
            </w:pPr>
            <w:r>
              <w:t>0.898</w:t>
            </w:r>
          </w:p>
        </w:tc>
      </w:tr>
      <w:tr>
        <w:tc>
          <w:tcPr>
            <w:tcW w:type="dxa" w:w="1440"/>
            <w:shd w:val="clear" w:color="auto" w:fill="EEF2FF"/>
          </w:tcPr>
          <w:p>
            <w:pPr>
              <w:jc w:val="left"/>
            </w:pPr>
            <w:r>
              <w:t>Apple_Rotten</w:t>
            </w:r>
          </w:p>
        </w:tc>
        <w:tc>
          <w:tcPr>
            <w:tcW w:type="dxa" w:w="1440"/>
            <w:shd w:val="clear" w:color="auto" w:fill="EEF2FF"/>
          </w:tcPr>
          <w:p>
            <w:pPr>
              <w:jc w:val="center"/>
            </w:pPr>
            <w:r>
              <w:t>200</w:t>
            </w:r>
          </w:p>
        </w:tc>
        <w:tc>
          <w:tcPr>
            <w:tcW w:type="dxa" w:w="1440"/>
            <w:shd w:val="clear" w:color="auto" w:fill="EEF2FF"/>
          </w:tcPr>
          <w:p>
            <w:pPr>
              <w:jc w:val="center"/>
            </w:pPr>
            <w:r>
              <w:t>85.0%</w:t>
            </w:r>
          </w:p>
        </w:tc>
        <w:tc>
          <w:tcPr>
            <w:tcW w:type="dxa" w:w="1440"/>
            <w:shd w:val="clear" w:color="auto" w:fill="EEF2FF"/>
          </w:tcPr>
          <w:p>
            <w:pPr>
              <w:jc w:val="center"/>
            </w:pPr>
            <w:r>
              <w:t>0.966</w:t>
            </w:r>
          </w:p>
        </w:tc>
        <w:tc>
          <w:tcPr>
            <w:tcW w:type="dxa" w:w="1440"/>
            <w:shd w:val="clear" w:color="auto" w:fill="EEF2FF"/>
          </w:tcPr>
          <w:p>
            <w:pPr>
              <w:jc w:val="center"/>
            </w:pPr>
            <w:r>
              <w:t>0.850</w:t>
            </w:r>
          </w:p>
        </w:tc>
        <w:tc>
          <w:tcPr>
            <w:tcW w:type="dxa" w:w="1440"/>
            <w:shd w:val="clear" w:color="auto" w:fill="EEF2FF"/>
          </w:tcPr>
          <w:p>
            <w:pPr>
              <w:jc w:val="center"/>
            </w:pPr>
            <w:r>
              <w:t>0.904</w:t>
            </w:r>
          </w:p>
        </w:tc>
      </w:tr>
      <w:tr>
        <w:tc>
          <w:tcPr>
            <w:tcW w:type="dxa" w:w="1440"/>
          </w:tcPr>
          <w:p>
            <w:pPr>
              <w:jc w:val="left"/>
            </w:pPr>
            <w:r>
              <w:t>Banana</w:t>
            </w:r>
          </w:p>
        </w:tc>
        <w:tc>
          <w:tcPr>
            <w:tcW w:type="dxa" w:w="1440"/>
          </w:tcPr>
          <w:p>
            <w:pPr>
              <w:jc w:val="center"/>
            </w:pPr>
            <w:r>
              <w:t>161</w:t>
            </w:r>
          </w:p>
        </w:tc>
        <w:tc>
          <w:tcPr>
            <w:tcW w:type="dxa" w:w="1440"/>
          </w:tcPr>
          <w:p>
            <w:pPr>
              <w:jc w:val="center"/>
            </w:pPr>
            <w:r>
              <w:t>83.2%</w:t>
            </w:r>
          </w:p>
        </w:tc>
        <w:tc>
          <w:tcPr>
            <w:tcW w:type="dxa" w:w="1440"/>
          </w:tcPr>
          <w:p>
            <w:pPr>
              <w:jc w:val="center"/>
            </w:pPr>
            <w:r>
              <w:t>0.985</w:t>
            </w:r>
          </w:p>
        </w:tc>
        <w:tc>
          <w:tcPr>
            <w:tcW w:type="dxa" w:w="1440"/>
          </w:tcPr>
          <w:p>
            <w:pPr>
              <w:jc w:val="center"/>
            </w:pPr>
            <w:r>
              <w:t>0.832</w:t>
            </w:r>
          </w:p>
        </w:tc>
        <w:tc>
          <w:tcPr>
            <w:tcW w:type="dxa" w:w="1440"/>
          </w:tcPr>
          <w:p>
            <w:pPr>
              <w:jc w:val="center"/>
            </w:pPr>
            <w:r>
              <w:t>0.902</w:t>
            </w:r>
          </w:p>
        </w:tc>
      </w:tr>
      <w:tr>
        <w:tc>
          <w:tcPr>
            <w:tcW w:type="dxa" w:w="1440"/>
            <w:shd w:val="clear" w:color="auto" w:fill="EEF2FF"/>
          </w:tcPr>
          <w:p>
            <w:pPr>
              <w:jc w:val="left"/>
            </w:pPr>
            <w:r>
              <w:t>Banana_Rotten</w:t>
            </w:r>
          </w:p>
        </w:tc>
        <w:tc>
          <w:tcPr>
            <w:tcW w:type="dxa" w:w="1440"/>
            <w:shd w:val="clear" w:color="auto" w:fill="EEF2FF"/>
          </w:tcPr>
          <w:p>
            <w:pPr>
              <w:jc w:val="center"/>
            </w:pPr>
            <w:r>
              <w:t>200</w:t>
            </w:r>
          </w:p>
        </w:tc>
        <w:tc>
          <w:tcPr>
            <w:tcW w:type="dxa" w:w="1440"/>
            <w:shd w:val="clear" w:color="auto" w:fill="EEF2FF"/>
          </w:tcPr>
          <w:p>
            <w:pPr>
              <w:jc w:val="center"/>
            </w:pPr>
            <w:r>
              <w:t>95.0%</w:t>
            </w:r>
          </w:p>
        </w:tc>
        <w:tc>
          <w:tcPr>
            <w:tcW w:type="dxa" w:w="1440"/>
            <w:shd w:val="clear" w:color="auto" w:fill="EEF2FF"/>
          </w:tcPr>
          <w:p>
            <w:pPr>
              <w:jc w:val="center"/>
            </w:pPr>
            <w:r>
              <w:t>0.936</w:t>
            </w:r>
          </w:p>
        </w:tc>
        <w:tc>
          <w:tcPr>
            <w:tcW w:type="dxa" w:w="1440"/>
            <w:shd w:val="clear" w:color="auto" w:fill="EEF2FF"/>
          </w:tcPr>
          <w:p>
            <w:pPr>
              <w:jc w:val="center"/>
            </w:pPr>
            <w:r>
              <w:t>0.950</w:t>
            </w:r>
          </w:p>
        </w:tc>
        <w:tc>
          <w:tcPr>
            <w:tcW w:type="dxa" w:w="1440"/>
            <w:shd w:val="clear" w:color="auto" w:fill="EEF2FF"/>
          </w:tcPr>
          <w:p>
            <w:pPr>
              <w:jc w:val="center"/>
            </w:pPr>
            <w:r>
              <w:t>0.943</w:t>
            </w:r>
          </w:p>
        </w:tc>
      </w:tr>
      <w:tr>
        <w:tc>
          <w:tcPr>
            <w:tcW w:type="dxa" w:w="1440"/>
          </w:tcPr>
          <w:p>
            <w:pPr>
              <w:jc w:val="left"/>
            </w:pPr>
            <w:r>
              <w:t>Orange</w:t>
            </w:r>
          </w:p>
        </w:tc>
        <w:tc>
          <w:tcPr>
            <w:tcW w:type="dxa" w:w="1440"/>
          </w:tcPr>
          <w:p>
            <w:pPr>
              <w:jc w:val="center"/>
            </w:pPr>
            <w:r>
              <w:t>200</w:t>
            </w:r>
          </w:p>
        </w:tc>
        <w:tc>
          <w:tcPr>
            <w:tcW w:type="dxa" w:w="1440"/>
          </w:tcPr>
          <w:p>
            <w:pPr>
              <w:jc w:val="center"/>
            </w:pPr>
            <w:r>
              <w:t>76.5%</w:t>
            </w:r>
          </w:p>
        </w:tc>
        <w:tc>
          <w:tcPr>
            <w:tcW w:type="dxa" w:w="1440"/>
          </w:tcPr>
          <w:p>
            <w:pPr>
              <w:jc w:val="center"/>
            </w:pPr>
            <w:r>
              <w:t>0.962</w:t>
            </w:r>
          </w:p>
        </w:tc>
        <w:tc>
          <w:tcPr>
            <w:tcW w:type="dxa" w:w="1440"/>
          </w:tcPr>
          <w:p>
            <w:pPr>
              <w:jc w:val="center"/>
            </w:pPr>
            <w:r>
              <w:t>0.765</w:t>
            </w:r>
          </w:p>
        </w:tc>
        <w:tc>
          <w:tcPr>
            <w:tcW w:type="dxa" w:w="1440"/>
          </w:tcPr>
          <w:p>
            <w:pPr>
              <w:jc w:val="center"/>
            </w:pPr>
            <w:r>
              <w:t>0.852</w:t>
            </w:r>
          </w:p>
        </w:tc>
      </w:tr>
      <w:tr>
        <w:tc>
          <w:tcPr>
            <w:tcW w:type="dxa" w:w="1440"/>
            <w:shd w:val="clear" w:color="auto" w:fill="EEF2FF"/>
          </w:tcPr>
          <w:p>
            <w:pPr>
              <w:jc w:val="left"/>
            </w:pPr>
            <w:r>
              <w:t>Orange_Rotten</w:t>
            </w:r>
          </w:p>
        </w:tc>
        <w:tc>
          <w:tcPr>
            <w:tcW w:type="dxa" w:w="1440"/>
            <w:shd w:val="clear" w:color="auto" w:fill="EEF2FF"/>
          </w:tcPr>
          <w:p>
            <w:pPr>
              <w:jc w:val="center"/>
            </w:pPr>
            <w:r>
              <w:t>200</w:t>
            </w:r>
          </w:p>
        </w:tc>
        <w:tc>
          <w:tcPr>
            <w:tcW w:type="dxa" w:w="1440"/>
            <w:shd w:val="clear" w:color="auto" w:fill="EEF2FF"/>
          </w:tcPr>
          <w:p>
            <w:pPr>
              <w:jc w:val="center"/>
            </w:pPr>
            <w:r>
              <w:t>99.0%</w:t>
            </w:r>
          </w:p>
        </w:tc>
        <w:tc>
          <w:tcPr>
            <w:tcW w:type="dxa" w:w="1440"/>
            <w:shd w:val="clear" w:color="auto" w:fill="EEF2FF"/>
          </w:tcPr>
          <w:p>
            <w:pPr>
              <w:jc w:val="center"/>
            </w:pPr>
            <w:r>
              <w:t>0.750</w:t>
            </w:r>
          </w:p>
        </w:tc>
        <w:tc>
          <w:tcPr>
            <w:tcW w:type="dxa" w:w="1440"/>
            <w:shd w:val="clear" w:color="auto" w:fill="EEF2FF"/>
          </w:tcPr>
          <w:p>
            <w:pPr>
              <w:jc w:val="center"/>
            </w:pPr>
            <w:r>
              <w:t>0.990</w:t>
            </w:r>
          </w:p>
        </w:tc>
        <w:tc>
          <w:tcPr>
            <w:tcW w:type="dxa" w:w="1440"/>
            <w:shd w:val="clear" w:color="auto" w:fill="EEF2FF"/>
          </w:tcPr>
          <w:p>
            <w:pPr>
              <w:jc w:val="center"/>
            </w:pPr>
            <w:r>
              <w:t>0.853</w:t>
            </w:r>
          </w:p>
        </w:tc>
      </w:tr>
      <w:tr>
        <w:tc>
          <w:tcPr>
            <w:tcW w:type="dxa" w:w="1440"/>
          </w:tcPr>
          <w:p>
            <w:pPr>
              <w:jc w:val="left"/>
            </w:pPr>
            <w:r>
              <w:t>Macro Avg</w:t>
            </w:r>
          </w:p>
        </w:tc>
        <w:tc>
          <w:tcPr>
            <w:tcW w:type="dxa" w:w="1440"/>
          </w:tcPr>
          <w:p>
            <w:pPr>
              <w:jc w:val="center"/>
            </w:pPr>
            <w:r>
              <w:t>1,161</w:t>
            </w:r>
          </w:p>
        </w:tc>
        <w:tc>
          <w:tcPr>
            <w:tcW w:type="dxa" w:w="1440"/>
          </w:tcPr>
          <w:p>
            <w:pPr>
              <w:jc w:val="center"/>
            </w:pPr>
            <w:r>
              <w:t>89.15%</w:t>
            </w:r>
          </w:p>
        </w:tc>
        <w:tc>
          <w:tcPr>
            <w:tcW w:type="dxa" w:w="1440"/>
          </w:tcPr>
          <w:p>
            <w:pPr>
              <w:jc w:val="center"/>
            </w:pPr>
            <w:r>
              <w:t>0.909</w:t>
            </w:r>
          </w:p>
        </w:tc>
        <w:tc>
          <w:tcPr>
            <w:tcW w:type="dxa" w:w="1440"/>
          </w:tcPr>
          <w:p>
            <w:pPr>
              <w:jc w:val="center"/>
            </w:pPr>
            <w:r>
              <w:t>0.890</w:t>
            </w:r>
          </w:p>
        </w:tc>
        <w:tc>
          <w:tcPr>
            <w:tcW w:type="dxa" w:w="1440"/>
          </w:tcPr>
          <w:p>
            <w:pPr>
              <w:jc w:val="center"/>
            </w:pPr>
            <w:r>
              <w:t>0.892</w:t>
            </w:r>
          </w:p>
        </w:tc>
      </w:tr>
    </w:tbl>
    <w:p/>
    <w:p>
      <w:pPr>
        <w:jc w:val="center"/>
      </w:pPr>
      <w:r>
        <w:drawing>
          <wp:inline xmlns:a="http://schemas.openxmlformats.org/drawingml/2006/main" xmlns:pic="http://schemas.openxmlformats.org/drawingml/2006/picture">
            <wp:extent cx="5669280" cy="2328741"/>
            <wp:docPr id="1" name="Picture 1"/>
            <wp:cNvGraphicFramePr>
              <a:graphicFrameLocks noChangeAspect="1"/>
            </wp:cNvGraphicFramePr>
            <a:graphic>
              <a:graphicData uri="http://schemas.openxmlformats.org/drawingml/2006/picture">
                <pic:pic>
                  <pic:nvPicPr>
                    <pic:cNvPr id="0" name="training_performance_graph.png"/>
                    <pic:cNvPicPr/>
                  </pic:nvPicPr>
                  <pic:blipFill>
                    <a:blip r:embed="rId9"/>
                    <a:stretch>
                      <a:fillRect/>
                    </a:stretch>
                  </pic:blipFill>
                  <pic:spPr>
                    <a:xfrm>
                      <a:off x="0" y="0"/>
                      <a:ext cx="5669280" cy="2328741"/>
                    </a:xfrm>
                    <a:prstGeom prst="rect"/>
                  </pic:spPr>
                </pic:pic>
              </a:graphicData>
            </a:graphic>
          </wp:inline>
        </w:drawing>
      </w:r>
    </w:p>
    <w:p>
      <w:pPr>
        <w:jc w:val="center"/>
      </w:pPr>
      <w:r>
        <w:rPr>
          <w:i/>
          <w:sz w:val="18"/>
        </w:rPr>
        <w:t>Fig. 1: Training accuracy and loss curves over 20 epochs.</w:t>
      </w:r>
    </w:p>
    <w:p/>
    <w:p>
      <w:pPr>
        <w:jc w:val="center"/>
      </w:pPr>
      <w:r>
        <w:drawing>
          <wp:inline xmlns:a="http://schemas.openxmlformats.org/drawingml/2006/main" xmlns:pic="http://schemas.openxmlformats.org/drawingml/2006/picture">
            <wp:extent cx="5029200" cy="4458511"/>
            <wp:docPr id="2" name="Picture 2"/>
            <wp:cNvGraphicFramePr>
              <a:graphicFrameLocks noChangeAspect="1"/>
            </wp:cNvGraphicFramePr>
            <a:graphic>
              <a:graphicData uri="http://schemas.openxmlformats.org/drawingml/2006/picture">
                <pic:pic>
                  <pic:nvPicPr>
                    <pic:cNvPr id="0" name="confusion_matrix_graph.png"/>
                    <pic:cNvPicPr/>
                  </pic:nvPicPr>
                  <pic:blipFill>
                    <a:blip r:embed="rId10"/>
                    <a:stretch>
                      <a:fillRect/>
                    </a:stretch>
                  </pic:blipFill>
                  <pic:spPr>
                    <a:xfrm>
                      <a:off x="0" y="0"/>
                      <a:ext cx="5029200" cy="4458511"/>
                    </a:xfrm>
                    <a:prstGeom prst="rect"/>
                  </pic:spPr>
                </pic:pic>
              </a:graphicData>
            </a:graphic>
          </wp:inline>
        </w:drawing>
      </w:r>
    </w:p>
    <w:p>
      <w:pPr>
        <w:jc w:val="center"/>
      </w:pPr>
      <w:r>
        <w:rPr>
          <w:i/>
          <w:sz w:val="18"/>
        </w:rPr>
        <w:t>Fig. 2: Confusion matrix on 1,161 test images.</w:t>
      </w:r>
    </w:p>
    <w:p/>
    <w:p>
      <w:pPr>
        <w:jc w:val="center"/>
      </w:pPr>
      <w:r>
        <w:drawing>
          <wp:inline xmlns:a="http://schemas.openxmlformats.org/drawingml/2006/main" xmlns:pic="http://schemas.openxmlformats.org/drawingml/2006/picture">
            <wp:extent cx="5669280" cy="2584945"/>
            <wp:docPr id="3" name="Picture 3"/>
            <wp:cNvGraphicFramePr>
              <a:graphicFrameLocks noChangeAspect="1"/>
            </wp:cNvGraphicFramePr>
            <a:graphic>
              <a:graphicData uri="http://schemas.openxmlformats.org/drawingml/2006/picture">
                <pic:pic>
                  <pic:nvPicPr>
                    <pic:cNvPr id="0" name="per_class_metrics_graph.png"/>
                    <pic:cNvPicPr/>
                  </pic:nvPicPr>
                  <pic:blipFill>
                    <a:blip r:embed="rId11"/>
                    <a:stretch>
                      <a:fillRect/>
                    </a:stretch>
                  </pic:blipFill>
                  <pic:spPr>
                    <a:xfrm>
                      <a:off x="0" y="0"/>
                      <a:ext cx="5669280" cy="2584945"/>
                    </a:xfrm>
                    <a:prstGeom prst="rect"/>
                  </pic:spPr>
                </pic:pic>
              </a:graphicData>
            </a:graphic>
          </wp:inline>
        </w:drawing>
      </w:r>
    </w:p>
    <w:p>
      <w:pPr>
        <w:jc w:val="center"/>
      </w:pPr>
      <w:r>
        <w:rPr>
          <w:i/>
          <w:sz w:val="18"/>
        </w:rPr>
        <w:t>Fig. 3: Per-class precision, recall, and F1-score.</w:t>
      </w:r>
    </w:p>
    <w:p/>
    <w:p>
      <w:r>
        <w:rPr>
          <w:b/>
          <w:sz w:val="22"/>
        </w:rPr>
        <w:t>4.2 Colorimetric Scoring</w:t>
      </w:r>
    </w:p>
    <w:p>
      <w:pPr>
        <w:jc w:val="center"/>
      </w:pPr>
      <w:r>
        <w:rPr>
          <w:b/>
          <w:sz w:val="20"/>
        </w:rPr>
        <w:t>Table 3: Mean colorimetric features and freshness scores by class.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B3A6B"/>
          </w:tcPr>
          <w:p>
            <w:pPr>
              <w:jc w:val="center"/>
            </w:pPr>
            <w:r>
              <w:rPr>
                <w:b/>
                <w:color w:val="FFFFFF"/>
              </w:rPr>
              <w:t>Class</w:t>
            </w:r>
          </w:p>
        </w:tc>
        <w:tc>
          <w:tcPr>
            <w:tcW w:type="dxa" w:w="1440"/>
            <w:shd w:val="clear" w:color="auto" w:fill="1B3A6B"/>
          </w:tcPr>
          <w:p>
            <w:pPr>
              <w:jc w:val="center"/>
            </w:pPr>
            <w:r>
              <w:rPr>
                <w:b/>
                <w:color w:val="FFFFFF"/>
              </w:rPr>
              <w:t>Mean S</w:t>
            </w:r>
          </w:p>
        </w:tc>
        <w:tc>
          <w:tcPr>
            <w:tcW w:type="dxa" w:w="1440"/>
            <w:shd w:val="clear" w:color="auto" w:fill="1B3A6B"/>
          </w:tcPr>
          <w:p>
            <w:pPr>
              <w:jc w:val="center"/>
            </w:pPr>
            <w:r>
              <w:rPr>
                <w:b/>
                <w:color w:val="FFFFFF"/>
              </w:rPr>
              <w:t>Mean L*</w:t>
            </w:r>
          </w:p>
        </w:tc>
        <w:tc>
          <w:tcPr>
            <w:tcW w:type="dxa" w:w="1440"/>
            <w:shd w:val="clear" w:color="auto" w:fill="1B3A6B"/>
          </w:tcPr>
          <w:p>
            <w:pPr>
              <w:jc w:val="center"/>
            </w:pPr>
            <w:r>
              <w:rPr>
                <w:b/>
                <w:color w:val="FFFFFF"/>
              </w:rPr>
              <w:t>Mean C*</w:t>
            </w:r>
          </w:p>
        </w:tc>
        <w:tc>
          <w:tcPr>
            <w:tcW w:type="dxa" w:w="1440"/>
            <w:shd w:val="clear" w:color="auto" w:fill="1B3A6B"/>
          </w:tcPr>
          <w:p>
            <w:pPr>
              <w:jc w:val="center"/>
            </w:pPr>
            <w:r>
              <w:rPr>
                <w:b/>
                <w:color w:val="FFFFFF"/>
              </w:rPr>
              <w:t>Mean b*</w:t>
            </w:r>
          </w:p>
        </w:tc>
        <w:tc>
          <w:tcPr>
            <w:tcW w:type="dxa" w:w="1440"/>
            <w:shd w:val="clear" w:color="auto" w:fill="1B3A6B"/>
          </w:tcPr>
          <w:p>
            <w:pPr>
              <w:jc w:val="center"/>
            </w:pPr>
            <w:r>
              <w:rPr>
                <w:b/>
                <w:color w:val="FFFFFF"/>
              </w:rPr>
              <w:t>Mean H°</w:t>
            </w:r>
          </w:p>
        </w:tc>
      </w:tr>
      <w:tr>
        <w:tc>
          <w:tcPr>
            <w:tcW w:type="dxa" w:w="1440"/>
          </w:tcPr>
          <w:p>
            <w:pPr>
              <w:jc w:val="left"/>
            </w:pPr>
            <w:r>
              <w:t>Fresh Apple</w:t>
            </w:r>
          </w:p>
        </w:tc>
        <w:tc>
          <w:tcPr>
            <w:tcW w:type="dxa" w:w="1440"/>
          </w:tcPr>
          <w:p>
            <w:pPr>
              <w:jc w:val="center"/>
            </w:pPr>
            <w:r>
              <w:t>78.4</w:t>
            </w:r>
          </w:p>
        </w:tc>
        <w:tc>
          <w:tcPr>
            <w:tcW w:type="dxa" w:w="1440"/>
          </w:tcPr>
          <w:p>
            <w:pPr>
              <w:jc w:val="center"/>
            </w:pPr>
            <w:r>
              <w:t>54.2</w:t>
            </w:r>
          </w:p>
        </w:tc>
        <w:tc>
          <w:tcPr>
            <w:tcW w:type="dxa" w:w="1440"/>
          </w:tcPr>
          <w:p>
            <w:pPr>
              <w:jc w:val="center"/>
            </w:pPr>
            <w:r>
              <w:t>38.6</w:t>
            </w:r>
          </w:p>
        </w:tc>
        <w:tc>
          <w:tcPr>
            <w:tcW w:type="dxa" w:w="1440"/>
          </w:tcPr>
          <w:p>
            <w:pPr>
              <w:jc w:val="center"/>
            </w:pPr>
            <w:r>
              <w:t>14.1</w:t>
            </w:r>
          </w:p>
        </w:tc>
        <w:tc>
          <w:tcPr>
            <w:tcW w:type="dxa" w:w="1440"/>
          </w:tcPr>
          <w:p>
            <w:pPr>
              <w:jc w:val="center"/>
            </w:pPr>
            <w:r>
              <w:t>28.3</w:t>
            </w:r>
          </w:p>
        </w:tc>
      </w:tr>
      <w:tr>
        <w:tc>
          <w:tcPr>
            <w:tcW w:type="dxa" w:w="1440"/>
            <w:shd w:val="clear" w:color="auto" w:fill="EEF2FF"/>
          </w:tcPr>
          <w:p>
            <w:pPr>
              <w:jc w:val="left"/>
            </w:pPr>
            <w:r>
              <w:t>Fresh Banana</w:t>
            </w:r>
          </w:p>
        </w:tc>
        <w:tc>
          <w:tcPr>
            <w:tcW w:type="dxa" w:w="1440"/>
            <w:shd w:val="clear" w:color="auto" w:fill="EEF2FF"/>
          </w:tcPr>
          <w:p>
            <w:pPr>
              <w:jc w:val="center"/>
            </w:pPr>
            <w:r>
              <w:t>74.1</w:t>
            </w:r>
          </w:p>
        </w:tc>
        <w:tc>
          <w:tcPr>
            <w:tcW w:type="dxa" w:w="1440"/>
            <w:shd w:val="clear" w:color="auto" w:fill="EEF2FF"/>
          </w:tcPr>
          <w:p>
            <w:pPr>
              <w:jc w:val="center"/>
            </w:pPr>
            <w:r>
              <w:t>68.7</w:t>
            </w:r>
          </w:p>
        </w:tc>
        <w:tc>
          <w:tcPr>
            <w:tcW w:type="dxa" w:w="1440"/>
            <w:shd w:val="clear" w:color="auto" w:fill="EEF2FF"/>
          </w:tcPr>
          <w:p>
            <w:pPr>
              <w:jc w:val="center"/>
            </w:pPr>
            <w:r>
              <w:t>41.2</w:t>
            </w:r>
          </w:p>
        </w:tc>
        <w:tc>
          <w:tcPr>
            <w:tcW w:type="dxa" w:w="1440"/>
            <w:shd w:val="clear" w:color="auto" w:fill="EEF2FF"/>
          </w:tcPr>
          <w:p>
            <w:pPr>
              <w:jc w:val="center"/>
            </w:pPr>
            <w:r>
              <w:t>31.8</w:t>
            </w:r>
          </w:p>
        </w:tc>
        <w:tc>
          <w:tcPr>
            <w:tcW w:type="dxa" w:w="1440"/>
            <w:shd w:val="clear" w:color="auto" w:fill="EEF2FF"/>
          </w:tcPr>
          <w:p>
            <w:pPr>
              <w:jc w:val="center"/>
            </w:pPr>
            <w:r>
              <w:t>72.4</w:t>
            </w:r>
          </w:p>
        </w:tc>
      </w:tr>
      <w:tr>
        <w:tc>
          <w:tcPr>
            <w:tcW w:type="dxa" w:w="1440"/>
          </w:tcPr>
          <w:p>
            <w:pPr>
              <w:jc w:val="left"/>
            </w:pPr>
            <w:r>
              <w:t>Fresh Orange</w:t>
            </w:r>
          </w:p>
        </w:tc>
        <w:tc>
          <w:tcPr>
            <w:tcW w:type="dxa" w:w="1440"/>
          </w:tcPr>
          <w:p>
            <w:pPr>
              <w:jc w:val="center"/>
            </w:pPr>
            <w:r>
              <w:t>72.9</w:t>
            </w:r>
          </w:p>
        </w:tc>
        <w:tc>
          <w:tcPr>
            <w:tcW w:type="dxa" w:w="1440"/>
          </w:tcPr>
          <w:p>
            <w:pPr>
              <w:jc w:val="center"/>
            </w:pPr>
            <w:r>
              <w:t>61.3</w:t>
            </w:r>
          </w:p>
        </w:tc>
        <w:tc>
          <w:tcPr>
            <w:tcW w:type="dxa" w:w="1440"/>
          </w:tcPr>
          <w:p>
            <w:pPr>
              <w:jc w:val="center"/>
            </w:pPr>
            <w:r>
              <w:t>44.9</w:t>
            </w:r>
          </w:p>
        </w:tc>
        <w:tc>
          <w:tcPr>
            <w:tcW w:type="dxa" w:w="1440"/>
          </w:tcPr>
          <w:p>
            <w:pPr>
              <w:jc w:val="center"/>
            </w:pPr>
            <w:r>
              <w:t>29.6</w:t>
            </w:r>
          </w:p>
        </w:tc>
        <w:tc>
          <w:tcPr>
            <w:tcW w:type="dxa" w:w="1440"/>
          </w:tcPr>
          <w:p>
            <w:pPr>
              <w:jc w:val="center"/>
            </w:pPr>
            <w:r>
              <w:t>54.1</w:t>
            </w:r>
          </w:p>
        </w:tc>
      </w:tr>
      <w:tr>
        <w:tc>
          <w:tcPr>
            <w:tcW w:type="dxa" w:w="1440"/>
            <w:shd w:val="clear" w:color="auto" w:fill="EEF2FF"/>
          </w:tcPr>
          <w:p>
            <w:pPr>
              <w:jc w:val="left"/>
            </w:pPr>
            <w:r>
              <w:t>Rotten Apple</w:t>
            </w:r>
          </w:p>
        </w:tc>
        <w:tc>
          <w:tcPr>
            <w:tcW w:type="dxa" w:w="1440"/>
            <w:shd w:val="clear" w:color="auto" w:fill="EEF2FF"/>
          </w:tcPr>
          <w:p>
            <w:pPr>
              <w:jc w:val="center"/>
            </w:pPr>
            <w:r>
              <w:t>31.6</w:t>
            </w:r>
          </w:p>
        </w:tc>
        <w:tc>
          <w:tcPr>
            <w:tcW w:type="dxa" w:w="1440"/>
            <w:shd w:val="clear" w:color="auto" w:fill="EEF2FF"/>
          </w:tcPr>
          <w:p>
            <w:pPr>
              <w:jc w:val="center"/>
            </w:pPr>
            <w:r>
              <w:t>34.8</w:t>
            </w:r>
          </w:p>
        </w:tc>
        <w:tc>
          <w:tcPr>
            <w:tcW w:type="dxa" w:w="1440"/>
            <w:shd w:val="clear" w:color="auto" w:fill="EEF2FF"/>
          </w:tcPr>
          <w:p>
            <w:pPr>
              <w:jc w:val="center"/>
            </w:pPr>
            <w:r>
              <w:t>16.4</w:t>
            </w:r>
          </w:p>
        </w:tc>
        <w:tc>
          <w:tcPr>
            <w:tcW w:type="dxa" w:w="1440"/>
            <w:shd w:val="clear" w:color="auto" w:fill="EEF2FF"/>
          </w:tcPr>
          <w:p>
            <w:pPr>
              <w:jc w:val="center"/>
            </w:pPr>
            <w:r>
              <w:t>5.2</w:t>
            </w:r>
          </w:p>
        </w:tc>
        <w:tc>
          <w:tcPr>
            <w:tcW w:type="dxa" w:w="1440"/>
            <w:shd w:val="clear" w:color="auto" w:fill="EEF2FF"/>
          </w:tcPr>
          <w:p>
            <w:pPr>
              <w:jc w:val="center"/>
            </w:pPr>
            <w:r>
              <w:t>51.8</w:t>
            </w:r>
          </w:p>
        </w:tc>
      </w:tr>
      <w:tr>
        <w:tc>
          <w:tcPr>
            <w:tcW w:type="dxa" w:w="1440"/>
          </w:tcPr>
          <w:p>
            <w:pPr>
              <w:jc w:val="left"/>
            </w:pPr>
            <w:r>
              <w:t>Rotten Banana</w:t>
            </w:r>
          </w:p>
        </w:tc>
        <w:tc>
          <w:tcPr>
            <w:tcW w:type="dxa" w:w="1440"/>
          </w:tcPr>
          <w:p>
            <w:pPr>
              <w:jc w:val="center"/>
            </w:pPr>
            <w:r>
              <w:t>28.3</w:t>
            </w:r>
          </w:p>
        </w:tc>
        <w:tc>
          <w:tcPr>
            <w:tcW w:type="dxa" w:w="1440"/>
          </w:tcPr>
          <w:p>
            <w:pPr>
              <w:jc w:val="center"/>
            </w:pPr>
            <w:r>
              <w:t>30.1</w:t>
            </w:r>
          </w:p>
        </w:tc>
        <w:tc>
          <w:tcPr>
            <w:tcW w:type="dxa" w:w="1440"/>
          </w:tcPr>
          <w:p>
            <w:pPr>
              <w:jc w:val="center"/>
            </w:pPr>
            <w:r>
              <w:t>13.2</w:t>
            </w:r>
          </w:p>
        </w:tc>
        <w:tc>
          <w:tcPr>
            <w:tcW w:type="dxa" w:w="1440"/>
          </w:tcPr>
          <w:p>
            <w:pPr>
              <w:jc w:val="center"/>
            </w:pPr>
            <w:r>
              <w:t>7.4</w:t>
            </w:r>
          </w:p>
        </w:tc>
        <w:tc>
          <w:tcPr>
            <w:tcW w:type="dxa" w:w="1440"/>
          </w:tcPr>
          <w:p>
            <w:pPr>
              <w:jc w:val="center"/>
            </w:pPr>
            <w:r>
              <w:t>48.3</w:t>
            </w:r>
          </w:p>
        </w:tc>
      </w:tr>
      <w:tr>
        <w:tc>
          <w:tcPr>
            <w:tcW w:type="dxa" w:w="1440"/>
            <w:shd w:val="clear" w:color="auto" w:fill="EEF2FF"/>
          </w:tcPr>
          <w:p>
            <w:pPr>
              <w:jc w:val="left"/>
            </w:pPr>
            <w:r>
              <w:t>Rotten Orange</w:t>
            </w:r>
          </w:p>
        </w:tc>
        <w:tc>
          <w:tcPr>
            <w:tcW w:type="dxa" w:w="1440"/>
            <w:shd w:val="clear" w:color="auto" w:fill="EEF2FF"/>
          </w:tcPr>
          <w:p>
            <w:pPr>
              <w:jc w:val="center"/>
            </w:pPr>
            <w:r>
              <w:t>33.8</w:t>
            </w:r>
          </w:p>
        </w:tc>
        <w:tc>
          <w:tcPr>
            <w:tcW w:type="dxa" w:w="1440"/>
            <w:shd w:val="clear" w:color="auto" w:fill="EEF2FF"/>
          </w:tcPr>
          <w:p>
            <w:pPr>
              <w:jc w:val="center"/>
            </w:pPr>
            <w:r>
              <w:t>37.5</w:t>
            </w:r>
          </w:p>
        </w:tc>
        <w:tc>
          <w:tcPr>
            <w:tcW w:type="dxa" w:w="1440"/>
            <w:shd w:val="clear" w:color="auto" w:fill="EEF2FF"/>
          </w:tcPr>
          <w:p>
            <w:pPr>
              <w:jc w:val="center"/>
            </w:pPr>
            <w:r>
              <w:t>18.1</w:t>
            </w:r>
          </w:p>
        </w:tc>
        <w:tc>
          <w:tcPr>
            <w:tcW w:type="dxa" w:w="1440"/>
            <w:shd w:val="clear" w:color="auto" w:fill="EEF2FF"/>
          </w:tcPr>
          <w:p>
            <w:pPr>
              <w:jc w:val="center"/>
            </w:pPr>
            <w:r>
              <w:t>8.9</w:t>
            </w:r>
          </w:p>
        </w:tc>
        <w:tc>
          <w:tcPr>
            <w:tcW w:type="dxa" w:w="1440"/>
            <w:shd w:val="clear" w:color="auto" w:fill="EEF2FF"/>
          </w:tcPr>
          <w:p>
            <w:pPr>
              <w:jc w:val="center"/>
            </w:pPr>
            <w:r>
              <w:t>52.7</w:t>
            </w:r>
          </w:p>
        </w:tc>
      </w:tr>
    </w:tbl>
    <w:p/>
    <w:p>
      <w:pPr>
        <w:ind w:firstLine="360"/>
      </w:pPr>
      <w:r>
        <w:rPr>
          <w:sz w:val="20"/>
        </w:rPr>
        <w:t>Fresh specimens consistently scored above 60. Rotten specimens scored below 40 in all three fruit types, with low L*, near-zero b*, and hue angles in the 48–53° brown-decay zone. The hue decay penalty P_H correctly remained near zero for fresh Orange (high C*=44.9, H°=54.1°) while firing strongly for rotten specimens (low C*, brown H°), demonstrating the discriminative value of the combined penalty term.</w:t>
      </w:r>
    </w:p>
    <w:p>
      <w:r>
        <w:rPr>
          <w:b/>
          <w:sz w:val="22"/>
        </w:rPr>
        <w:t>4.3 Inference Latency</w:t>
      </w:r>
    </w:p>
    <w:p>
      <w:pPr>
        <w:ind w:firstLine="360"/>
      </w:pPr>
      <w:r>
        <w:rPr>
          <w:sz w:val="20"/>
        </w:rPr>
        <w:t>On a consumer-grade CPU (Intel Core i5-11th Gen, 8 GB RAM), the full pipeline completed in a mean of 487 ms (σ=42 ms) across 50 requests: SE-CNN 63 ms, MobileNetV2 409 ms, colorimetric computation &lt;15 ms.</w:t>
      </w:r>
    </w:p>
    <w:p>
      <w:r>
        <w:rPr>
          <w:b/>
          <w:sz w:val="24"/>
        </w:rPr>
        <w:t>5. Discussion</w:t>
      </w:r>
    </w:p>
    <w:p>
      <w:pPr>
        <w:ind w:firstLine="360"/>
      </w:pPr>
      <w:r>
        <w:rPr>
          <w:sz w:val="20"/>
        </w:rPr>
        <w:t>The 89.15% cross-dataset test accuracy demonstrates strong generalisation beyond the training distribution. Orange classification showed the largest intra-class variance (76.5%), attributable to its hue overlap with Apple under varying illuminants — a known limitation of RGB-based approaches. The two-phase fine-tuning strategy was key: freezing the base during Phase 1 prevented catastrophic forgetting of ImageNet features while the custom head converged.</w:t>
      </w:r>
    </w:p>
    <w:p>
      <w:pPr>
        <w:ind w:firstLine="360"/>
      </w:pPr>
      <w:r>
        <w:rPr>
          <w:sz w:val="20"/>
        </w:rPr>
        <w:t>The colorimetric scoring pipeline offers interpretability over pure classifier confidence, which is critical for regulatory acceptance. Each score component maps directly to established food-science photometry, making the system's decisions auditable by quality-control inspectors without deep learning expertise. The hue penalty P_H's conditioning on chroma saturation correctly avoids false penalisation of fresh orange fruit despite overlapping hue angles with the brown-decay zone.</w:t>
      </w:r>
    </w:p>
    <w:p>
      <w:pPr>
        <w:ind w:firstLine="360"/>
      </w:pPr>
      <w:r>
        <w:rPr>
          <w:sz w:val="20"/>
        </w:rPr>
        <w:t>Current limitations include: (1) coverage limited to three species; (2) background variation not addressed through segmentation; (3) regression ground-truth derived from proxy measurements rather than direct instrument readings. These represent clear directions for future work.</w:t>
      </w:r>
    </w:p>
    <w:p>
      <w:r>
        <w:rPr>
          <w:b/>
          <w:sz w:val="24"/>
        </w:rPr>
        <w:t>6. Conclusion</w:t>
      </w:r>
    </w:p>
    <w:p>
      <w:pPr>
        <w:ind w:firstLine="360"/>
      </w:pPr>
      <w:r>
        <w:rPr>
          <w:sz w:val="20"/>
        </w:rPr>
        <w:t>This paper has presented FruitSense, an integrated AI system achieving 89.15% overall accuracy (macro F1: 89.23%) on a six-class fruit quality classification task. By combining MobileNetV2 transfer learning, SE-CNN regression, and a physically principled CIE L*a*b* scoring algorithm within a production-ready web application, FruitSense bridges the gap between laboratory-grade deep learning research and practical food-supply-chain deployment. Future work will expand the supported fruit taxonomy, incorporate direct instrument measurements for regression training, and investigate on-device inference via TensorFlow Lite for offline mobile use.</w:t>
      </w:r>
    </w:p>
    <w:p>
      <w:r>
        <w:rPr>
          <w:b/>
          <w:sz w:val="24"/>
        </w:rPr>
        <w:t>References</w:t>
      </w:r>
    </w:p>
    <w:p>
      <w:pPr>
        <w:pStyle w:val="ListParagraph"/>
        <w:spacing w:after="60"/>
      </w:pPr>
      <w:r>
        <w:rPr>
          <w:b/>
          <w:sz w:val="18"/>
        </w:rPr>
        <w:t xml:space="preserve">[1] </w:t>
      </w:r>
      <w:r>
        <w:rPr>
          <w:sz w:val="18"/>
        </w:rPr>
        <w:t>FAO. (2011). Global food losses and food waste. Food and Agriculture Organization of the United Nations, Rome.</w:t>
      </w:r>
    </w:p>
    <w:p>
      <w:pPr>
        <w:pStyle w:val="ListParagraph"/>
        <w:spacing w:after="60"/>
      </w:pPr>
      <w:r>
        <w:rPr>
          <w:b/>
          <w:sz w:val="18"/>
        </w:rPr>
        <w:t xml:space="preserve">[2] </w:t>
      </w:r>
      <w:r>
        <w:rPr>
          <w:sz w:val="18"/>
        </w:rPr>
        <w:t>LeCun, Y., Bengio, Y., &amp; Hinton, G. (2015). Deep learning. Nature, 521(7553), 436–444.</w:t>
      </w:r>
    </w:p>
    <w:p>
      <w:pPr>
        <w:pStyle w:val="ListParagraph"/>
        <w:spacing w:after="60"/>
      </w:pPr>
      <w:r>
        <w:rPr>
          <w:b/>
          <w:sz w:val="18"/>
        </w:rPr>
        <w:t xml:space="preserve">[3] </w:t>
      </w:r>
      <w:r>
        <w:rPr>
          <w:sz w:val="18"/>
        </w:rPr>
        <w:t>He, K., et al. (2016). Deep residual learning for image recognition. CVPR 2016, 770–778.</w:t>
      </w:r>
    </w:p>
    <w:p>
      <w:pPr>
        <w:pStyle w:val="ListParagraph"/>
        <w:spacing w:after="60"/>
      </w:pPr>
      <w:r>
        <w:rPr>
          <w:b/>
          <w:sz w:val="18"/>
        </w:rPr>
        <w:t xml:space="preserve">[4] </w:t>
      </w:r>
      <w:r>
        <w:rPr>
          <w:sz w:val="18"/>
        </w:rPr>
        <w:t>Kamilaris, A. &amp; Prenafeta-Boldú, F.X. (2018). Deep learning in agriculture: A survey. Computers and Electronics in Agriculture, 147, 70–90.</w:t>
      </w:r>
    </w:p>
    <w:p>
      <w:pPr>
        <w:pStyle w:val="ListParagraph"/>
        <w:spacing w:after="60"/>
      </w:pPr>
      <w:r>
        <w:rPr>
          <w:b/>
          <w:sz w:val="18"/>
        </w:rPr>
        <w:t xml:space="preserve">[5] </w:t>
      </w:r>
      <w:r>
        <w:rPr>
          <w:sz w:val="18"/>
        </w:rPr>
        <w:t>Cubero, S., et al. (2011). Advances in machine vision for fruit quality evaluation. Food and Bioprocess Technology, 4(4), 487–504.</w:t>
      </w:r>
    </w:p>
    <w:p>
      <w:pPr>
        <w:pStyle w:val="ListParagraph"/>
        <w:spacing w:after="60"/>
      </w:pPr>
      <w:r>
        <w:rPr>
          <w:b/>
          <w:sz w:val="18"/>
        </w:rPr>
        <w:t xml:space="preserve">[6] </w:t>
      </w:r>
      <w:r>
        <w:rPr>
          <w:sz w:val="18"/>
        </w:rPr>
        <w:t>Mureşan, H. &amp; Oltean, M. (2018). Fruit recognition from images using deep learning. Acta Univ. Sapientiae, Informatica, 10(1), 26–42.</w:t>
      </w:r>
    </w:p>
    <w:p>
      <w:pPr>
        <w:pStyle w:val="ListParagraph"/>
        <w:spacing w:after="60"/>
      </w:pPr>
      <w:r>
        <w:rPr>
          <w:b/>
          <w:sz w:val="18"/>
        </w:rPr>
        <w:t xml:space="preserve">[7] </w:t>
      </w:r>
      <w:r>
        <w:rPr>
          <w:sz w:val="18"/>
        </w:rPr>
        <w:t>Sandler, M., et al. (2018). MobileNetV2: Inverted residuals and linear bottlenecks. CVPR 2018, 4510–4520.</w:t>
      </w:r>
    </w:p>
    <w:p>
      <w:pPr>
        <w:pStyle w:val="ListParagraph"/>
        <w:spacing w:after="60"/>
      </w:pPr>
      <w:r>
        <w:rPr>
          <w:b/>
          <w:sz w:val="18"/>
        </w:rPr>
        <w:t xml:space="preserve">[8] </w:t>
      </w:r>
      <w:r>
        <w:rPr>
          <w:sz w:val="18"/>
        </w:rPr>
        <w:t>Hu, J., Shen, L., &amp; Sun, G. (2018). Squeeze-and-Excitation Networks. CVPR 2018, 7132–7141.</w:t>
      </w:r>
    </w:p>
    <w:p>
      <w:pPr>
        <w:pStyle w:val="ListParagraph"/>
        <w:spacing w:after="60"/>
      </w:pPr>
      <w:r>
        <w:rPr>
          <w:b/>
          <w:sz w:val="18"/>
        </w:rPr>
        <w:t xml:space="preserve">[9] </w:t>
      </w:r>
      <w:r>
        <w:rPr>
          <w:sz w:val="18"/>
        </w:rPr>
        <w:t>Pathare, P.B., Opara, U.L., &amp; Al-Said, F.A.J. (2013). Colour measurement in fresh and processed foods. Food and Bioprocess Technology, 6(1), 36–60.</w:t>
      </w:r>
    </w:p>
    <w:p>
      <w:pPr>
        <w:pStyle w:val="ListParagraph"/>
        <w:spacing w:after="60"/>
      </w:pPr>
      <w:r>
        <w:rPr>
          <w:b/>
          <w:sz w:val="18"/>
        </w:rPr>
        <w:t xml:space="preserve">[10] </w:t>
      </w:r>
      <w:r>
        <w:rPr>
          <w:sz w:val="18"/>
        </w:rPr>
        <w:t>Mureşan, H. (2016). Fruits 360 Dataset. Kaggle. https://www.kaggle.com/datasets/moltean/fruits</w:t>
      </w:r>
    </w:p>
    <w:p>
      <w:pPr>
        <w:pStyle w:val="ListParagraph"/>
        <w:spacing w:after="60"/>
      </w:pPr>
      <w:r>
        <w:rPr>
          <w:b/>
          <w:sz w:val="18"/>
        </w:rPr>
        <w:t xml:space="preserve">[11] </w:t>
      </w:r>
      <w:r>
        <w:rPr>
          <w:sz w:val="18"/>
        </w:rPr>
        <w:t>Hussain, M. (2022). Rotten Fruit Dataset. Kaggle. https://www.kaggle.com/datasets/muhcheh/rotten-fruit-detection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