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表格模型定义语言 （TMDL）</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https://learn.microsoft.com/zh-cn/a...</w:t>
        </w:r>
      </w:hyperlink>
    </w:p>
    <w:p>
      <w:pPr>
        <w:spacing w:before="120" w:after="120" w:line="288" w:lineRule="auto"/>
        <w:ind w:left="0"/>
        <w:jc w:val="left"/>
      </w:pPr>
      <w:r>
        <w:rPr>
          <w:rFonts w:eastAsia="等线" w:ascii="Arial" w:cs="Arial" w:hAnsi="Arial"/>
          <w:i w:val="true"/>
          <w:color w:val="646a73"/>
          <w:sz w:val="22"/>
        </w:rPr>
        <w:t>⏰ 剪存时间：2025-11-09 23:19:57 (UTC+8)</w:t>
      </w:r>
    </w:p>
    <w:p>
      <w:pPr>
        <w:spacing w:before="120" w:after="120" w:line="288" w:lineRule="auto"/>
        <w:ind w:left="0"/>
        <w:jc w:val="left"/>
      </w:pPr>
      <w:r>
        <w:rPr>
          <w:rFonts w:eastAsia="等线" w:ascii="Arial" w:cs="Arial" w:hAnsi="Arial"/>
          <w:i w:val="true"/>
          <w:color w:val="646a73"/>
          <w:sz w:val="22"/>
        </w:rPr>
        <w:t xml:space="preserve">✂️ 本文档由 </w:t>
      </w:r>
      <w:hyperlink r:id="rId5">
        <w:r>
          <w:rPr>
            <w:rFonts w:eastAsia="等线" w:ascii="Arial" w:cs="Arial" w:hAnsi="Arial"/>
            <w:i w:val="true"/>
            <w:color w:val="3370ff"/>
            <w:sz w:val="22"/>
          </w:rPr>
          <w:t xml:space="preserve">飞书剪存 </w:t>
        </w:r>
      </w:hyperlink>
      <w:r>
        <w:rPr>
          <w:rFonts w:eastAsia="等线" w:ascii="Arial" w:cs="Arial" w:hAnsi="Arial"/>
          <w:i w:val="true"/>
          <w:color w:val="646a73"/>
          <w:sz w:val="22"/>
        </w:rPr>
        <w:t>一键生成</w:t>
      </w:r>
    </w:p>
    <w:p>
      <w:pPr>
        <w:spacing w:before="120" w:after="120" w:line="288" w:lineRule="auto"/>
        <w:ind w:left="0"/>
        <w:jc w:val="left"/>
      </w:pPr>
      <w:r>
        <w:rPr>
          <w:rFonts w:eastAsia="等线" w:ascii="Arial" w:cs="Arial" w:hAnsi="Arial"/>
          <w:b w:val="true"/>
          <w:sz w:val="22"/>
        </w:rPr>
        <w:t>适用于：</w:t>
      </w:r>
    </w:p>
    <w:p>
      <w:pPr>
        <w:spacing w:before="120" w:after="120" w:line="288" w:lineRule="auto"/>
        <w:ind w:left="0"/>
        <w:jc w:val="center"/>
      </w:pPr>
      <w:r>
        <w:drawing>
          <wp:inline distT="0" distR="0" distB="0" distL="0">
            <wp:extent cx="304800" cy="180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304800" cy="180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SQL Server 2016 及更高版本 Analysis Services</w:t>
      </w:r>
    </w:p>
    <w:p>
      <w:pPr>
        <w:spacing w:before="120" w:after="120" w:line="288" w:lineRule="auto"/>
        <w:ind w:left="0"/>
        <w:jc w:val="center"/>
      </w:pPr>
      <w:r>
        <w:drawing>
          <wp:inline distT="0" distR="0" distB="0" distL="0">
            <wp:extent cx="304800" cy="180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304800" cy="180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Azure Analysis Services</w:t>
      </w:r>
    </w:p>
    <w:p>
      <w:pPr>
        <w:spacing w:before="120" w:after="120" w:line="288" w:lineRule="auto"/>
        <w:ind w:left="0"/>
        <w:jc w:val="center"/>
      </w:pPr>
      <w:r>
        <w:drawing>
          <wp:inline distT="0" distR="0" distB="0" distL="0">
            <wp:extent cx="304800" cy="180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04800" cy="180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Fabric/Power BI Premium</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表格模型定义语言（TMDL）是兼容级别为 1200 或更高版本的表格数据模型的对象模型定义语法。</w:t>
      </w:r>
    </w:p>
    <w:p>
      <w:pPr>
        <w:spacing w:before="120" w:after="120" w:line="288" w:lineRule="auto"/>
        <w:ind w:left="0"/>
        <w:jc w:val="left"/>
      </w:pPr>
      <w:r>
        <w:rPr>
          <w:rFonts w:eastAsia="等线" w:ascii="Arial" w:cs="Arial" w:hAnsi="Arial"/>
          <w:sz w:val="22"/>
        </w:rPr>
        <w:t>TMDL 的关键元素包括：</w:t>
      </w:r>
    </w:p>
    <w:p>
      <w:pPr>
        <w:numPr>
          <w:numId w:val="1"/>
        </w:numPr>
        <w:spacing w:before="120" w:after="120" w:line="288" w:lineRule="auto"/>
        <w:ind w:left="0"/>
        <w:jc w:val="left"/>
      </w:pPr>
      <w:r>
        <w:rPr>
          <w:rFonts w:eastAsia="等线" w:ascii="Arial" w:cs="Arial" w:hAnsi="Arial"/>
          <w:sz w:val="22"/>
        </w:rPr>
        <w:t xml:space="preserve">与整个 </w:t>
      </w:r>
      <w:hyperlink r:id="rId8">
        <w:r>
          <w:rPr>
            <w:rFonts w:eastAsia="等线" w:ascii="Arial" w:cs="Arial" w:hAnsi="Arial"/>
            <w:color w:val="3370ff"/>
            <w:sz w:val="22"/>
          </w:rPr>
          <w:t xml:space="preserve">表格对象模型（TOM） </w:t>
        </w:r>
      </w:hyperlink>
      <w:r>
        <w:rPr>
          <w:rFonts w:eastAsia="等线" w:ascii="Arial" w:cs="Arial" w:hAnsi="Arial"/>
          <w:sz w:val="22"/>
        </w:rPr>
        <w:t>完全兼容。 每个 TMDL 对象都公开与 TOM 相同的属性。</w:t>
      </w:r>
    </w:p>
    <w:p>
      <w:pPr>
        <w:numPr>
          <w:numId w:val="2"/>
        </w:numPr>
        <w:spacing w:before="120" w:after="120" w:line="288" w:lineRule="auto"/>
        <w:ind w:left="0"/>
        <w:jc w:val="left"/>
      </w:pPr>
      <w:r>
        <w:rPr>
          <w:rFonts w:eastAsia="等线" w:ascii="Arial" w:cs="Arial" w:hAnsi="Arial"/>
          <w:sz w:val="22"/>
        </w:rPr>
        <w:t>基于文本并针对人工交互和可读性进行优化。 TMDL 使用类似于 YAML 的语法语法。 每个 TMDL 对象以文本表示，使用最小分隔符，并使用缩进来标记父子关系。</w:t>
      </w:r>
    </w:p>
    <w:p>
      <w:pPr>
        <w:numPr>
          <w:numId w:val="3"/>
        </w:numPr>
        <w:spacing w:before="120" w:after="120" w:line="288" w:lineRule="auto"/>
        <w:ind w:left="0"/>
        <w:jc w:val="left"/>
      </w:pPr>
      <w:r>
        <w:rPr>
          <w:rFonts w:eastAsia="等线" w:ascii="Arial" w:cs="Arial" w:hAnsi="Arial"/>
          <w:sz w:val="22"/>
        </w:rPr>
        <w:t>更好的编辑体验，尤其是具有来自不同内容类型的嵌入表达式（如数据分析表达式（DAX）和 M 的属性。</w:t>
      </w:r>
    </w:p>
    <w:p>
      <w:pPr>
        <w:numPr>
          <w:numId w:val="4"/>
        </w:numPr>
        <w:spacing w:before="120" w:after="120" w:line="288" w:lineRule="auto"/>
        <w:ind w:left="0"/>
        <w:jc w:val="left"/>
      </w:pPr>
      <w:r>
        <w:rPr>
          <w:rFonts w:eastAsia="等线" w:ascii="Arial" w:cs="Arial" w:hAnsi="Arial"/>
          <w:sz w:val="22"/>
        </w:rPr>
        <w:t>更适合协作，因为它的文件夹表示形式，其中每个模型对象都有单独的文件表示形式，使其更便于源代码管理。</w:t>
      </w:r>
    </w:p>
    <w:p>
      <w:pPr>
        <w:spacing w:before="120" w:after="120" w:line="288" w:lineRule="auto"/>
        <w:ind w:left="0"/>
        <w:jc w:val="left"/>
      </w:pPr>
      <w:r>
        <w:rPr>
          <w:rFonts w:eastAsia="等线" w:ascii="Arial" w:cs="Arial" w:hAnsi="Arial"/>
          <w:sz w:val="22"/>
        </w:rPr>
        <w:t>TMDL 的一个重要方面是使用空格缩进来表示 TOM 对象结构。 以下示例演示如何在使用 TMDL 时表示表格模型是多么容易：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database Sales</w:t>
              <w:br/>
              <w:t xml:space="preserve">        compatibilityLevel: 1567</w:t>
              <w:br/>
              <w:br/>
              <w:t xml:space="preserve">model Model    </w:t>
              <w:br/>
              <w:t xml:space="preserve">    culture: en-US    </w:t>
              <w:br/>
              <w:br/>
              <w:t>table Sales</w:t>
              <w:br/>
              <w:t xml:space="preserve">    </w:t>
              <w:br/>
              <w:t xml:space="preserve">    partition 'Sales-Partition' = m</w:t>
              <w:br/>
              <w:t xml:space="preserve">        mode: import</w:t>
              <w:br/>
              <w:t xml:space="preserve">        source = </w:t>
              <w:br/>
              <w:t xml:space="preserve">            let</w:t>
              <w:br/>
              <w:t xml:space="preserve">                Source = Sql.Database(Server, Database)</w:t>
              <w:br/>
              <w:t xml:space="preserve">                …</w:t>
              <w:br/>
              <w:t xml:space="preserve">    </w:t>
              <w:br/>
              <w:t xml:space="preserve">    measure 'Sales Amount' = SUMX('Sales', 'Sales'[Quantity] * 'Sales'[Net Price])</w:t>
              <w:br/>
              <w:t xml:space="preserve">        formatString: $ #,##0</w:t>
              <w:br/>
              <w:t xml:space="preserve">   </w:t>
              <w:br/>
              <w:t xml:space="preserve">    column 'Product Key'</w:t>
              <w:br/>
              <w:t xml:space="preserve">        dataType: int64</w:t>
              <w:br/>
              <w:t xml:space="preserve">        isHidden</w:t>
              <w:br/>
              <w:t xml:space="preserve">        sourceColumn: ProductKey</w:t>
              <w:br/>
              <w:t xml:space="preserve">        summarizeBy: None</w:t>
              <w:br/>
              <w:t xml:space="preserve"> </w:t>
              <w:br/>
              <w:t xml:space="preserve">    column Quantity</w:t>
              <w:br/>
              <w:t xml:space="preserve">        dataType: int64</w:t>
              <w:br/>
              <w:t xml:space="preserve">        isHidden</w:t>
              <w:br/>
              <w:t xml:space="preserve">        sourceColumn: Quantity</w:t>
              <w:br/>
              <w:t xml:space="preserve">        summarizeBy: None</w:t>
              <w:br/>
              <w:br/>
              <w:t xml:space="preserve">    column 'Net Price'</w:t>
              <w:br/>
              <w:t xml:space="preserve">        dataType: int64</w:t>
              <w:br/>
              <w:t xml:space="preserve">        isHidden</w:t>
              <w:br/>
              <w:t xml:space="preserve">        sourceColumn: "Net Price"</w:t>
              <w:br/>
              <w:t xml:space="preserve">        summarizeBy: none</w:t>
              <w:br/>
              <w:br/>
              <w:t>table Product</w:t>
              <w:br/>
              <w:t xml:space="preserve">    </w:t>
              <w:br/>
              <w:t xml:space="preserve">    partition 'Product-Partition' = m</w:t>
              <w:br/>
              <w:t xml:space="preserve">        mode: import</w:t>
              <w:br/>
              <w:t xml:space="preserve">        source = </w:t>
              <w:br/>
              <w:t xml:space="preserve">            let</w:t>
              <w:br/>
              <w:t xml:space="preserve">                Source = Sql.Database(Server, Database),</w:t>
              <w:br/>
              <w:t xml:space="preserve">                …</w:t>
              <w:br/>
              <w:br/>
              <w:t xml:space="preserve">    column 'Product Key'</w:t>
              <w:br/>
              <w:t xml:space="preserve">        dataType: int64</w:t>
              <w:br/>
              <w:t xml:space="preserve">        isKey</w:t>
              <w:br/>
              <w:t xml:space="preserve">        sourceColumn: ProductKey</w:t>
              <w:br/>
              <w:t xml:space="preserve">        summarizeBy: none</w:t>
              <w:br/>
              <w:br/>
              <w:t>relationship cdb6e6a9-c9d1-42b9-b9e0-484a1bc7e123</w:t>
              <w:br/>
              <w:t xml:space="preserve">    fromColumn: Sales.'Product Key'</w:t>
              <w:br/>
              <w:t xml:space="preserve">    toColumn: Product.'Product Key'</w:t>
              <w:br/>
              <w:br/>
              <w:t>role Role_Store1</w:t>
              <w:br/>
              <w:t xml:space="preserve">    modelPermission: read</w:t>
              <w:br/>
              <w:br/>
              <w:t xml:space="preserve">    tablePermission Store = 'Store'[Store Code] IN {1,10,20,30}</w:t>
              <w:br/>
              <w:br/>
              <w:t>expression Server = "localhost" meta [IsParameterQuery=true, Type="Text", IsParameterQueryRequired=true]</w:t>
              <w:br/>
              <w:br/>
            </w:r>
            <w:r>
              <w:rPr>
                <w:rFonts w:eastAsia="Consolas" w:ascii="Consolas" w:cs="Consolas" w:hAnsi="Consolas"/>
                <w:sz w:val="22"/>
              </w:rPr>
              <w:t>expression Database = "Contoso" meta [IsParameterQuery=true, Type="Text", IsParameterQueryRequired=true]</w:t>
            </w:r>
          </w:p>
        </w:tc>
      </w:tr>
    </w:tbl>
    <w:p>
      <w:pPr>
        <w:pStyle w:val="2"/>
        <w:spacing w:before="320" w:after="120" w:line="288" w:lineRule="auto"/>
        <w:ind w:left="0"/>
        <w:jc w:val="left"/>
        <w:outlineLvl w:val="1"/>
      </w:pPr>
      <w:bookmarkStart w:name="heading_0" w:id="0"/>
      <w:r>
        <w:rPr>
          <w:rFonts w:eastAsia="等线" w:ascii="Arial" w:cs="Arial" w:hAnsi="Arial"/>
          <w:b w:val="true"/>
          <w:sz w:val="32"/>
        </w:rPr>
        <w:t>TMDL 文件夹结构</w:t>
      </w:r>
      <w:bookmarkEnd w:id="0"/>
    </w:p>
    <w:p>
      <w:pPr>
        <w:spacing w:before="120" w:after="120" w:line="288" w:lineRule="auto"/>
        <w:ind w:left="0"/>
        <w:jc w:val="left"/>
      </w:pPr>
      <w:r>
        <w:rPr>
          <w:rFonts w:eastAsia="等线" w:ascii="Arial" w:cs="Arial" w:hAnsi="Arial"/>
          <w:sz w:val="22"/>
        </w:rPr>
        <w:t xml:space="preserve">与 TMSL 不同，TMDL 使用文件夹结构。 默认文件夹结构只有一个级别的 </w:t>
      </w:r>
      <w:r>
        <w:rPr>
          <w:rFonts w:eastAsia="等线" w:ascii="Arial" w:cs="Arial" w:hAnsi="Arial"/>
          <w:i w:val="true"/>
          <w:sz w:val="22"/>
        </w:rPr>
        <w:t xml:space="preserve">子文件夹 </w:t>
      </w:r>
      <w:r>
        <w:rPr>
          <w:rFonts w:eastAsia="等线" w:ascii="Arial" w:cs="Arial" w:hAnsi="Arial"/>
          <w:sz w:val="22"/>
        </w:rPr>
        <w:t>，所有子文件夹中都有 .tmdl 文件。</w:t>
      </w:r>
    </w:p>
    <w:p>
      <w:pPr>
        <w:numPr>
          <w:numId w:val="5"/>
        </w:numPr>
        <w:spacing w:before="120" w:after="120" w:line="288" w:lineRule="auto"/>
        <w:ind w:left="0"/>
        <w:jc w:val="left"/>
      </w:pPr>
      <w:r>
        <w:rPr>
          <w:rFonts w:eastAsia="等线" w:ascii="Arial" w:cs="Arial" w:hAnsi="Arial"/>
          <w:sz w:val="22"/>
        </w:rPr>
        <w:t>文化</w:t>
      </w:r>
    </w:p>
    <w:p>
      <w:pPr>
        <w:numPr>
          <w:numId w:val="6"/>
        </w:numPr>
        <w:spacing w:before="120" w:after="120" w:line="288" w:lineRule="auto"/>
        <w:ind w:left="0"/>
        <w:jc w:val="left"/>
      </w:pPr>
      <w:r>
        <w:rPr>
          <w:rFonts w:eastAsia="等线" w:ascii="Arial" w:cs="Arial" w:hAnsi="Arial"/>
          <w:sz w:val="22"/>
        </w:rPr>
        <w:t>观点</w:t>
      </w:r>
    </w:p>
    <w:p>
      <w:pPr>
        <w:numPr>
          <w:numId w:val="7"/>
        </w:numPr>
        <w:spacing w:before="120" w:after="120" w:line="288" w:lineRule="auto"/>
        <w:ind w:left="0"/>
        <w:jc w:val="left"/>
      </w:pPr>
      <w:r>
        <w:rPr>
          <w:rFonts w:eastAsia="等线" w:ascii="Arial" w:cs="Arial" w:hAnsi="Arial"/>
          <w:sz w:val="22"/>
        </w:rPr>
        <w:t>角色</w:t>
      </w:r>
    </w:p>
    <w:p>
      <w:pPr>
        <w:numPr>
          <w:numId w:val="8"/>
        </w:numPr>
        <w:spacing w:before="120" w:after="120" w:line="288" w:lineRule="auto"/>
        <w:ind w:left="0"/>
        <w:jc w:val="left"/>
      </w:pPr>
      <w:r>
        <w:rPr>
          <w:rFonts w:eastAsia="等线" w:ascii="Arial" w:cs="Arial" w:hAnsi="Arial"/>
          <w:sz w:val="22"/>
        </w:rPr>
        <w:t>表</w:t>
      </w:r>
    </w:p>
    <w:p>
      <w:pPr>
        <w:spacing w:before="120" w:after="120" w:line="288" w:lineRule="auto"/>
        <w:ind w:left="0"/>
        <w:jc w:val="left"/>
      </w:pPr>
      <w:r>
        <w:rPr>
          <w:rFonts w:eastAsia="等线" w:ascii="Arial" w:cs="Arial" w:hAnsi="Arial"/>
          <w:i w:val="true"/>
          <w:sz w:val="22"/>
        </w:rPr>
        <w:t xml:space="preserve">根文件 </w:t>
      </w:r>
      <w:r>
        <w:rPr>
          <w:rFonts w:eastAsia="等线" w:ascii="Arial" w:cs="Arial" w:hAnsi="Arial"/>
          <w:sz w:val="22"/>
        </w:rPr>
        <w:t>的用途是：</w:t>
      </w:r>
    </w:p>
    <w:p>
      <w:pPr>
        <w:numPr>
          <w:numId w:val="9"/>
        </w:numPr>
        <w:spacing w:before="120" w:after="120" w:line="288" w:lineRule="auto"/>
        <w:ind w:left="0"/>
        <w:jc w:val="left"/>
      </w:pPr>
      <w:r>
        <w:rPr>
          <w:rFonts w:eastAsia="等线" w:ascii="Arial" w:cs="Arial" w:hAnsi="Arial"/>
          <w:sz w:val="22"/>
        </w:rPr>
        <w:t>数据库</w:t>
      </w:r>
    </w:p>
    <w:p>
      <w:pPr>
        <w:numPr>
          <w:numId w:val="10"/>
        </w:numPr>
        <w:spacing w:before="120" w:after="120" w:line="288" w:lineRule="auto"/>
        <w:ind w:left="0"/>
        <w:jc w:val="left"/>
      </w:pPr>
      <w:r>
        <w:rPr>
          <w:rFonts w:eastAsia="等线" w:ascii="Arial" w:cs="Arial" w:hAnsi="Arial"/>
          <w:sz w:val="22"/>
        </w:rPr>
        <w:t>模型</w:t>
      </w:r>
    </w:p>
    <w:p>
      <w:pPr>
        <w:numPr>
          <w:numId w:val="11"/>
        </w:numPr>
        <w:spacing w:before="120" w:after="120" w:line="288" w:lineRule="auto"/>
        <w:ind w:left="0"/>
        <w:jc w:val="left"/>
      </w:pPr>
      <w:r>
        <w:rPr>
          <w:rFonts w:eastAsia="等线" w:ascii="Arial" w:cs="Arial" w:hAnsi="Arial"/>
          <w:sz w:val="22"/>
        </w:rPr>
        <w:t>关系</w:t>
      </w:r>
    </w:p>
    <w:p>
      <w:pPr>
        <w:numPr>
          <w:numId w:val="12"/>
        </w:numPr>
        <w:spacing w:before="120" w:after="120" w:line="288" w:lineRule="auto"/>
        <w:ind w:left="0"/>
        <w:jc w:val="left"/>
      </w:pPr>
      <w:r>
        <w:rPr>
          <w:rFonts w:eastAsia="等线" w:ascii="Arial" w:cs="Arial" w:hAnsi="Arial"/>
          <w:sz w:val="22"/>
        </w:rPr>
        <w:t>表达 式</w:t>
      </w:r>
    </w:p>
    <w:p>
      <w:pPr>
        <w:numPr>
          <w:numId w:val="13"/>
        </w:numPr>
        <w:spacing w:before="120" w:after="120" w:line="288" w:lineRule="auto"/>
        <w:ind w:left="0"/>
        <w:jc w:val="left"/>
      </w:pPr>
      <w:r>
        <w:rPr>
          <w:rFonts w:eastAsia="等线" w:ascii="Arial" w:cs="Arial" w:hAnsi="Arial"/>
          <w:sz w:val="22"/>
        </w:rPr>
        <w:t>数据源</w:t>
      </w:r>
    </w:p>
    <w:p>
      <w:pPr>
        <w:numPr>
          <w:numId w:val="14"/>
        </w:numPr>
        <w:spacing w:before="120" w:after="120" w:line="288" w:lineRule="auto"/>
        <w:ind w:left="0"/>
        <w:jc w:val="left"/>
      </w:pPr>
      <w:r>
        <w:rPr>
          <w:rFonts w:eastAsia="等线" w:ascii="Arial" w:cs="Arial" w:hAnsi="Arial"/>
          <w:sz w:val="22"/>
        </w:rPr>
        <w:t xml:space="preserve">函数 （ </w:t>
      </w:r>
      <w:hyperlink r:id="rId9">
        <w:r>
          <w:rPr>
            <w:rFonts w:eastAsia="等线" w:ascii="Arial" w:cs="Arial" w:hAnsi="Arial"/>
            <w:color w:val="3370ff"/>
            <w:sz w:val="22"/>
          </w:rPr>
          <w:t>DAX 用户定义的函数）</w:t>
        </w:r>
      </w:hyperlink>
    </w:p>
    <w:p>
      <w:pPr>
        <w:spacing w:before="120" w:after="120" w:line="288" w:lineRule="auto"/>
        <w:ind w:left="0"/>
        <w:jc w:val="left"/>
      </w:pPr>
      <w:r>
        <w:rPr>
          <w:rFonts w:eastAsia="等线" w:ascii="Arial" w:cs="Arial" w:hAnsi="Arial"/>
          <w:sz w:val="22"/>
        </w:rPr>
        <w:t>下面是 TMDL 文件夹的示例：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TMDL/</w:t>
              <w:br/>
              <w:t>├── cultures/</w:t>
              <w:br/>
              <w:t>│   ├── en-US.tmdl</w:t>
              <w:br/>
              <w:t>│   └── pt-PT.tmdl</w:t>
              <w:br/>
              <w:t>├── perspectives/</w:t>
              <w:br/>
              <w:t>│   └── perspective1.tmdl</w:t>
              <w:br/>
              <w:t>├── roles/</w:t>
              <w:br/>
              <w:t>│   ├── role1.tmdl</w:t>
              <w:br/>
              <w:t>│   └── role2.tmdl</w:t>
              <w:br/>
              <w:t>├── tables/</w:t>
              <w:br/>
              <w:t>│   ├── About.tmdl</w:t>
              <w:br/>
              <w:t>│   ├── Calendar.tmdl</w:t>
              <w:br/>
              <w:t>│   ├── Customer.tmdl</w:t>
              <w:br/>
              <w:t>│   ├── Product.tmdl</w:t>
              <w:br/>
              <w:t>│   ├── Sales.tmdl</w:t>
              <w:br/>
              <w:t>│   └── Store.tmdl</w:t>
              <w:br/>
              <w:t>├── relationships.tmdl</w:t>
              <w:br/>
              <w:t>├── functions.tmdl</w:t>
              <w:br/>
              <w:t>├── expressions.tmdl</w:t>
              <w:br/>
              <w:t>├── dataSources.tmdl</w:t>
              <w:br/>
              <w:t>├── model.tmdl</w:t>
              <w:br/>
            </w:r>
            <w:r>
              <w:rPr>
                <w:rFonts w:eastAsia="Consolas" w:ascii="Consolas" w:cs="Consolas" w:hAnsi="Consolas"/>
                <w:sz w:val="22"/>
              </w:rPr>
              <w:t>└── database.tmdl</w:t>
            </w:r>
          </w:p>
        </w:tc>
      </w:tr>
    </w:tbl>
    <w:p>
      <w:pPr>
        <w:spacing w:before="120" w:after="120" w:line="288" w:lineRule="auto"/>
        <w:ind w:left="0"/>
        <w:jc w:val="left"/>
      </w:pPr>
      <w:r>
        <w:rPr>
          <w:rFonts w:eastAsia="等线" w:ascii="Arial" w:cs="Arial" w:hAnsi="Arial"/>
          <w:sz w:val="22"/>
        </w:rPr>
        <w:t>定义包括：</w:t>
      </w:r>
    </w:p>
    <w:p>
      <w:pPr>
        <w:numPr>
          <w:numId w:val="15"/>
        </w:numPr>
        <w:spacing w:before="120" w:after="120" w:line="288" w:lineRule="auto"/>
        <w:ind w:left="0"/>
        <w:jc w:val="left"/>
      </w:pPr>
      <w:r>
        <w:rPr>
          <w:rFonts w:eastAsia="等线" w:ascii="Arial" w:cs="Arial" w:hAnsi="Arial"/>
          <w:sz w:val="22"/>
        </w:rPr>
        <w:t>一个文件用于数据库定义。</w:t>
      </w:r>
    </w:p>
    <w:p>
      <w:pPr>
        <w:numPr>
          <w:numId w:val="16"/>
        </w:numPr>
        <w:spacing w:before="120" w:after="120" w:line="288" w:lineRule="auto"/>
        <w:ind w:left="0"/>
        <w:jc w:val="left"/>
      </w:pPr>
      <w:r>
        <w:rPr>
          <w:rFonts w:eastAsia="等线" w:ascii="Arial" w:cs="Arial" w:hAnsi="Arial"/>
          <w:sz w:val="22"/>
        </w:rPr>
        <w:t>模型定义的一个文件。</w:t>
      </w:r>
    </w:p>
    <w:p>
      <w:pPr>
        <w:numPr>
          <w:numId w:val="17"/>
        </w:numPr>
        <w:spacing w:before="120" w:after="120" w:line="288" w:lineRule="auto"/>
        <w:ind w:left="0"/>
        <w:jc w:val="left"/>
      </w:pPr>
      <w:r>
        <w:rPr>
          <w:rFonts w:eastAsia="等线" w:ascii="Arial" w:cs="Arial" w:hAnsi="Arial"/>
          <w:sz w:val="22"/>
        </w:rPr>
        <w:t xml:space="preserve">模型中 </w:t>
      </w:r>
      <w:r>
        <w:rPr>
          <w:rFonts w:eastAsia="等线" w:ascii="Arial" w:cs="Arial" w:hAnsi="Arial"/>
          <w:i w:val="true"/>
          <w:sz w:val="22"/>
        </w:rPr>
        <w:t xml:space="preserve">所有 </w:t>
      </w:r>
      <w:r>
        <w:rPr>
          <w:rFonts w:eastAsia="等线" w:ascii="Arial" w:cs="Arial" w:hAnsi="Arial"/>
          <w:sz w:val="22"/>
        </w:rPr>
        <w:t>数据源的一个文件。</w:t>
      </w:r>
    </w:p>
    <w:p>
      <w:pPr>
        <w:numPr>
          <w:numId w:val="18"/>
        </w:numPr>
        <w:spacing w:before="120" w:after="120" w:line="288" w:lineRule="auto"/>
        <w:ind w:left="0"/>
        <w:jc w:val="left"/>
      </w:pPr>
      <w:r>
        <w:rPr>
          <w:rFonts w:eastAsia="等线" w:ascii="Arial" w:cs="Arial" w:hAnsi="Arial"/>
          <w:sz w:val="22"/>
        </w:rPr>
        <w:t xml:space="preserve">模型中 </w:t>
      </w:r>
      <w:r>
        <w:rPr>
          <w:rFonts w:eastAsia="等线" w:ascii="Arial" w:cs="Arial" w:hAnsi="Arial"/>
          <w:i w:val="true"/>
          <w:sz w:val="22"/>
        </w:rPr>
        <w:t xml:space="preserve">所有 </w:t>
      </w:r>
      <w:r>
        <w:rPr>
          <w:rFonts w:eastAsia="等线" w:ascii="Arial" w:cs="Arial" w:hAnsi="Arial"/>
          <w:sz w:val="22"/>
        </w:rPr>
        <w:t>表达式的一个文件。</w:t>
      </w:r>
    </w:p>
    <w:p>
      <w:pPr>
        <w:numPr>
          <w:numId w:val="19"/>
        </w:numPr>
        <w:spacing w:before="120" w:after="120" w:line="288" w:lineRule="auto"/>
        <w:ind w:left="0"/>
        <w:jc w:val="left"/>
      </w:pPr>
      <w:r>
        <w:rPr>
          <w:rFonts w:eastAsia="等线" w:ascii="Arial" w:cs="Arial" w:hAnsi="Arial"/>
          <w:sz w:val="22"/>
        </w:rPr>
        <w:t xml:space="preserve">一个文件用于 </w:t>
      </w:r>
      <w:r>
        <w:rPr>
          <w:rFonts w:eastAsia="等线" w:ascii="Arial" w:cs="Arial" w:hAnsi="Arial"/>
          <w:i w:val="true"/>
          <w:sz w:val="22"/>
        </w:rPr>
        <w:t xml:space="preserve">所有 </w:t>
      </w:r>
      <w:r>
        <w:rPr>
          <w:rFonts w:eastAsia="等线" w:ascii="Arial" w:cs="Arial" w:hAnsi="Arial"/>
          <w:sz w:val="22"/>
        </w:rPr>
        <w:t xml:space="preserve">函数（模型中的 </w:t>
      </w:r>
      <w:hyperlink r:id="rId10">
        <w:r>
          <w:rPr>
            <w:rFonts w:eastAsia="等线" w:ascii="Arial" w:cs="Arial" w:hAnsi="Arial"/>
            <w:color w:val="3370ff"/>
            <w:sz w:val="22"/>
          </w:rPr>
          <w:t xml:space="preserve">DAX 用户定义的函数 </w:t>
        </w:r>
      </w:hyperlink>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 xml:space="preserve">模型中 </w:t>
      </w:r>
      <w:r>
        <w:rPr>
          <w:rFonts w:eastAsia="等线" w:ascii="Arial" w:cs="Arial" w:hAnsi="Arial"/>
          <w:i w:val="true"/>
          <w:sz w:val="22"/>
        </w:rPr>
        <w:t xml:space="preserve">所有 </w:t>
      </w:r>
      <w:r>
        <w:rPr>
          <w:rFonts w:eastAsia="等线" w:ascii="Arial" w:cs="Arial" w:hAnsi="Arial"/>
          <w:sz w:val="22"/>
        </w:rPr>
        <w:t>关系的一个文件。</w:t>
      </w:r>
    </w:p>
    <w:p>
      <w:pPr>
        <w:numPr>
          <w:numId w:val="21"/>
        </w:numPr>
        <w:spacing w:before="120" w:after="120" w:line="288" w:lineRule="auto"/>
        <w:ind w:left="0"/>
        <w:jc w:val="left"/>
      </w:pPr>
      <w:r>
        <w:rPr>
          <w:rFonts w:eastAsia="等线" w:ascii="Arial" w:cs="Arial" w:hAnsi="Arial"/>
          <w:i w:val="true"/>
          <w:sz w:val="22"/>
        </w:rPr>
        <w:t xml:space="preserve">每个 </w:t>
      </w:r>
      <w:r>
        <w:rPr>
          <w:rFonts w:eastAsia="等线" w:ascii="Arial" w:cs="Arial" w:hAnsi="Arial"/>
          <w:sz w:val="22"/>
        </w:rPr>
        <w:t>文化语言架构的一个文件。</w:t>
      </w:r>
    </w:p>
    <w:p>
      <w:pPr>
        <w:numPr>
          <w:numId w:val="22"/>
        </w:numPr>
        <w:spacing w:before="120" w:after="120" w:line="288" w:lineRule="auto"/>
        <w:ind w:left="0"/>
        <w:jc w:val="left"/>
      </w:pPr>
      <w:r>
        <w:rPr>
          <w:rFonts w:eastAsia="等线" w:ascii="Arial" w:cs="Arial" w:hAnsi="Arial"/>
          <w:i w:val="true"/>
          <w:sz w:val="22"/>
        </w:rPr>
        <w:t xml:space="preserve">每个 </w:t>
      </w:r>
      <w:r>
        <w:rPr>
          <w:rFonts w:eastAsia="等线" w:ascii="Arial" w:cs="Arial" w:hAnsi="Arial"/>
          <w:sz w:val="22"/>
        </w:rPr>
        <w:t>视图一个文件。</w:t>
      </w:r>
    </w:p>
    <w:p>
      <w:pPr>
        <w:numPr>
          <w:numId w:val="23"/>
        </w:numPr>
        <w:spacing w:before="120" w:after="120" w:line="288" w:lineRule="auto"/>
        <w:ind w:left="0"/>
        <w:jc w:val="left"/>
      </w:pPr>
      <w:r>
        <w:rPr>
          <w:rFonts w:eastAsia="等线" w:ascii="Arial" w:cs="Arial" w:hAnsi="Arial"/>
          <w:sz w:val="22"/>
        </w:rPr>
        <w:t>为每个角色生成一个文件。</w:t>
      </w:r>
    </w:p>
    <w:p>
      <w:pPr>
        <w:numPr>
          <w:numId w:val="24"/>
        </w:numPr>
        <w:spacing w:before="120" w:after="120" w:line="288" w:lineRule="auto"/>
        <w:ind w:left="0"/>
        <w:jc w:val="left"/>
      </w:pPr>
      <w:r>
        <w:rPr>
          <w:rFonts w:eastAsia="等线" w:ascii="Arial" w:cs="Arial" w:hAnsi="Arial"/>
          <w:i w:val="true"/>
          <w:sz w:val="22"/>
        </w:rPr>
        <w:t xml:space="preserve">每个表一个文件 </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表（列、层次结构、分区,...）元数据的所有内部元数据属性都位于父表 TMDL 文件中。</w:t>
      </w:r>
    </w:p>
    <w:p>
      <w:pPr>
        <w:pStyle w:val="2"/>
        <w:spacing w:before="320" w:after="120" w:line="288" w:lineRule="auto"/>
        <w:ind w:left="0"/>
        <w:jc w:val="left"/>
        <w:outlineLvl w:val="1"/>
      </w:pPr>
      <w:bookmarkStart w:name="heading_1" w:id="1"/>
      <w:r>
        <w:rPr>
          <w:rFonts w:eastAsia="等线" w:ascii="Arial" w:cs="Arial" w:hAnsi="Arial"/>
          <w:b w:val="true"/>
          <w:sz w:val="32"/>
        </w:rPr>
        <w:t>TMDL API</w:t>
      </w:r>
      <w:bookmarkEnd w:id="1"/>
    </w:p>
    <w:p>
      <w:pPr>
        <w:spacing w:before="120" w:after="120" w:line="288" w:lineRule="auto"/>
        <w:ind w:left="0"/>
        <w:jc w:val="left"/>
      </w:pPr>
      <w:r>
        <w:rPr>
          <w:rFonts w:eastAsia="等线" w:ascii="Arial" w:cs="Arial" w:hAnsi="Arial"/>
          <w:sz w:val="22"/>
        </w:rPr>
        <w:t xml:space="preserve">与 </w:t>
      </w:r>
      <w:hyperlink r:id="rId11">
        <w:r>
          <w:rPr>
            <w:rFonts w:eastAsia="等线" w:ascii="Arial" w:cs="Arial" w:hAnsi="Arial"/>
            <w:color w:val="3370ff"/>
            <w:sz w:val="22"/>
          </w:rPr>
          <w:t xml:space="preserve">表格模型脚本语言（TMSL） </w:t>
        </w:r>
      </w:hyperlink>
      <w:r>
        <w:rPr>
          <w:rFonts w:eastAsia="等线" w:ascii="Arial" w:cs="Arial" w:hAnsi="Arial"/>
          <w:sz w:val="22"/>
        </w:rPr>
        <w:t xml:space="preserve">类似，有一个类来处理 TMDL 序列化。 对于 TMDL，类是 </w:t>
      </w:r>
      <w:hyperlink r:id="rId12">
        <w:r>
          <w:rPr>
            <w:rFonts w:eastAsia="等线" w:ascii="Arial" w:cs="Arial" w:hAnsi="Arial"/>
            <w:b w:val="true"/>
            <w:color w:val="3370ff"/>
            <w:sz w:val="22"/>
          </w:rPr>
          <w:t xml:space="preserve">tmdlSerializer </w:t>
        </w:r>
      </w:hyperlink>
      <w:r>
        <w:rPr>
          <w:rFonts w:eastAsia="等线" w:ascii="Arial" w:cs="Arial" w:hAnsi="Arial"/>
          <w:sz w:val="22"/>
        </w:rPr>
        <w:t xml:space="preserve">，位于 </w:t>
      </w:r>
      <w:hyperlink r:id="rId13">
        <w:r>
          <w:rPr>
            <w:rFonts w:eastAsia="等线" w:ascii="Arial" w:cs="Arial" w:hAnsi="Arial"/>
            <w:b w:val="true"/>
            <w:color w:val="3370ff"/>
            <w:sz w:val="22"/>
          </w:rPr>
          <w:t xml:space="preserve">Microsoft.AnalysisServices.Tabular </w:t>
        </w:r>
      </w:hyperlink>
      <w:r>
        <w:rPr>
          <w:rFonts w:eastAsia="等线" w:ascii="Arial" w:cs="Arial" w:hAnsi="Arial"/>
          <w:sz w:val="22"/>
        </w:rPr>
        <w:t>命名空间下。</w:t>
      </w:r>
    </w:p>
    <w:p>
      <w:pPr>
        <w:spacing w:before="120" w:after="120" w:line="288" w:lineRule="auto"/>
        <w:ind w:left="0"/>
        <w:jc w:val="left"/>
      </w:pPr>
      <w:r>
        <w:rPr>
          <w:rFonts w:eastAsia="等线" w:ascii="Arial" w:cs="Arial" w:hAnsi="Arial"/>
          <w:sz w:val="22"/>
        </w:rPr>
        <w:t>TmdlSerializer 类公开了序列化和反序列化 TMDL 文档的方法：</w:t>
      </w:r>
    </w:p>
    <w:p>
      <w:pPr>
        <w:pStyle w:val="3"/>
        <w:spacing w:before="300" w:after="120" w:line="288" w:lineRule="auto"/>
        <w:ind w:left="0"/>
        <w:jc w:val="left"/>
        <w:outlineLvl w:val="2"/>
      </w:pPr>
      <w:bookmarkStart w:name="heading_2" w:id="2"/>
      <w:r>
        <w:rPr>
          <w:rFonts w:eastAsia="等线" w:ascii="Arial" w:cs="Arial" w:hAnsi="Arial"/>
          <w:b w:val="true"/>
          <w:sz w:val="30"/>
        </w:rPr>
        <w:t>文件夹序列化</w:t>
      </w:r>
      <w:bookmarkEnd w:id="2"/>
    </w:p>
    <w:p>
      <w:pPr>
        <w:spacing w:before="120" w:after="120" w:line="288" w:lineRule="auto"/>
        <w:ind w:left="0"/>
        <w:jc w:val="left"/>
      </w:pPr>
      <w:r>
        <w:rPr>
          <w:rFonts w:eastAsia="Consolas" w:ascii="Consolas" w:cs="Consolas" w:hAnsi="Consolas"/>
          <w:sz w:val="22"/>
          <w:shd w:fill="EFF0F1"/>
        </w:rPr>
        <w:t>public static void SerializeDatabaseToFolder (Database database, string path)</w:t>
      </w:r>
    </w:p>
    <w:p>
      <w:pPr>
        <w:numPr>
          <w:numId w:val="26"/>
        </w:numPr>
        <w:spacing w:before="120" w:after="120" w:line="288" w:lineRule="auto"/>
        <w:ind w:left="0"/>
        <w:jc w:val="left"/>
      </w:pPr>
      <w:r>
        <w:rPr>
          <w:rFonts w:eastAsia="等线" w:ascii="Arial" w:cs="Arial" w:hAnsi="Arial"/>
          <w:sz w:val="22"/>
        </w:rPr>
        <w:t>接收 TOM 数据库对象和 TMDL 输出路径。</w:t>
      </w:r>
    </w:p>
    <w:p>
      <w:pPr>
        <w:numPr>
          <w:numId w:val="27"/>
        </w:numPr>
        <w:spacing w:before="120" w:after="120" w:line="288" w:lineRule="auto"/>
        <w:ind w:left="0"/>
        <w:jc w:val="left"/>
      </w:pPr>
      <w:r>
        <w:rPr>
          <w:rFonts w:eastAsia="等线" w:ascii="Arial" w:cs="Arial" w:hAnsi="Arial"/>
          <w:sz w:val="22"/>
        </w:rPr>
        <w:t>将 TOM 数据库序列化为 TMDL 文件夹表示形式。</w:t>
      </w:r>
    </w:p>
    <w:p>
      <w:pPr>
        <w:spacing w:before="120" w:after="120" w:line="288" w:lineRule="auto"/>
        <w:ind w:left="0"/>
        <w:jc w:val="left"/>
      </w:pPr>
      <w:r>
        <w:rPr>
          <w:rFonts w:eastAsia="等线" w:ascii="Arial" w:cs="Arial" w:hAnsi="Arial"/>
          <w:sz w:val="22"/>
        </w:rPr>
        <w:t xml:space="preserve">详细了解 </w:t>
      </w:r>
      <w:hyperlink r:id="rId14">
        <w:r>
          <w:rPr>
            <w:rFonts w:eastAsia="等线" w:ascii="Arial" w:cs="Arial" w:hAnsi="Arial"/>
            <w:color w:val="3370ff"/>
            <w:sz w:val="22"/>
          </w:rPr>
          <w:t xml:space="preserve">如何将数据序列化到文件夹中 </w:t>
        </w:r>
      </w:hyperlink>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public static Database DeserializeDatabaseFromFolder (string path)</w:t>
      </w:r>
    </w:p>
    <w:p>
      <w:pPr>
        <w:numPr>
          <w:numId w:val="28"/>
        </w:numPr>
        <w:spacing w:before="120" w:after="120" w:line="288" w:lineRule="auto"/>
        <w:ind w:left="0"/>
        <w:jc w:val="left"/>
      </w:pPr>
      <w:r>
        <w:rPr>
          <w:rFonts w:eastAsia="等线" w:ascii="Arial" w:cs="Arial" w:hAnsi="Arial"/>
          <w:sz w:val="22"/>
        </w:rPr>
        <w:t>接收 TMDL 文件夹的完整路径。</w:t>
      </w:r>
    </w:p>
    <w:p>
      <w:pPr>
        <w:numPr>
          <w:numId w:val="29"/>
        </w:numPr>
        <w:spacing w:before="120" w:after="120" w:line="288" w:lineRule="auto"/>
        <w:ind w:left="0"/>
        <w:jc w:val="left"/>
      </w:pPr>
      <w:r>
        <w:rPr>
          <w:rFonts w:eastAsia="等线" w:ascii="Arial" w:cs="Arial" w:hAnsi="Arial"/>
          <w:sz w:val="22"/>
        </w:rPr>
        <w:t>返回 TMDL 文件夹的 TOM 数据库对象表示形式。</w:t>
      </w:r>
    </w:p>
    <w:p>
      <w:pPr>
        <w:spacing w:before="120" w:after="120" w:line="288" w:lineRule="auto"/>
        <w:ind w:left="0"/>
        <w:jc w:val="left"/>
      </w:pPr>
      <w:r>
        <w:rPr>
          <w:rFonts w:eastAsia="等线" w:ascii="Arial" w:cs="Arial" w:hAnsi="Arial"/>
          <w:sz w:val="22"/>
        </w:rPr>
        <w:t xml:space="preserve">详细了解 </w:t>
      </w:r>
      <w:hyperlink r:id="rId15">
        <w:r>
          <w:rPr>
            <w:rFonts w:eastAsia="等线" w:ascii="Arial" w:cs="Arial" w:hAnsi="Arial"/>
            <w:color w:val="3370ff"/>
            <w:sz w:val="22"/>
          </w:rPr>
          <w:t xml:space="preserve">如何从文件夹反序列化 </w:t>
        </w:r>
      </w:hyperlink>
      <w:r>
        <w:rPr>
          <w:rFonts w:eastAsia="等线" w:ascii="Arial" w:cs="Arial" w:hAnsi="Arial"/>
          <w:sz w:val="22"/>
        </w:rPr>
        <w:t>。</w:t>
      </w:r>
    </w:p>
    <w:p>
      <w:pPr>
        <w:pStyle w:val="3"/>
        <w:spacing w:before="300" w:after="120" w:line="288" w:lineRule="auto"/>
        <w:ind w:left="0"/>
        <w:jc w:val="left"/>
        <w:outlineLvl w:val="2"/>
      </w:pPr>
      <w:bookmarkStart w:name="heading_3" w:id="3"/>
      <w:r>
        <w:rPr>
          <w:rFonts w:eastAsia="等线" w:ascii="Arial" w:cs="Arial" w:hAnsi="Arial"/>
          <w:b w:val="true"/>
          <w:sz w:val="30"/>
        </w:rPr>
        <w:t>字符串序列化</w:t>
      </w:r>
      <w:bookmarkEnd w:id="3"/>
    </w:p>
    <w:p>
      <w:pPr>
        <w:spacing w:before="120" w:after="120" w:line="288" w:lineRule="auto"/>
        <w:ind w:left="0"/>
        <w:jc w:val="left"/>
      </w:pPr>
      <w:r>
        <w:rPr>
          <w:rFonts w:eastAsia="Consolas" w:ascii="Consolas" w:cs="Consolas" w:hAnsi="Consolas"/>
          <w:sz w:val="22"/>
          <w:shd w:fill="EFF0F1"/>
        </w:rPr>
        <w:t>public static string SerializeObject (MetadataObject object, bool qualifyObject = true)</w:t>
      </w:r>
    </w:p>
    <w:p>
      <w:pPr>
        <w:numPr>
          <w:numId w:val="30"/>
        </w:numPr>
        <w:spacing w:before="120" w:after="120" w:line="288" w:lineRule="auto"/>
        <w:ind w:left="0"/>
        <w:jc w:val="left"/>
      </w:pPr>
      <w:r>
        <w:rPr>
          <w:rFonts w:eastAsia="等线" w:ascii="Arial" w:cs="Arial" w:hAnsi="Arial"/>
          <w:sz w:val="22"/>
        </w:rPr>
        <w:t>接收 TOM 对象并返回其 TMDL 文本表示形式。</w:t>
      </w:r>
    </w:p>
    <w:p>
      <w:pPr>
        <w:spacing w:before="120" w:after="120" w:line="288" w:lineRule="auto"/>
        <w:ind w:left="0"/>
        <w:jc w:val="left"/>
      </w:pPr>
      <w:r>
        <w:rPr>
          <w:rFonts w:eastAsia="等线" w:ascii="Arial" w:cs="Arial" w:hAnsi="Arial"/>
          <w:sz w:val="22"/>
        </w:rPr>
        <w:t xml:space="preserve">详细了解 </w:t>
      </w:r>
      <w:hyperlink r:id="rId16">
        <w:r>
          <w:rPr>
            <w:rFonts w:eastAsia="等线" w:ascii="Arial" w:cs="Arial" w:hAnsi="Arial"/>
            <w:color w:val="3370ff"/>
            <w:sz w:val="22"/>
          </w:rPr>
          <w:t xml:space="preserve">如何将对象序列化为字符串 </w:t>
        </w:r>
      </w:hyperlink>
      <w:r>
        <w:rPr>
          <w:rFonts w:eastAsia="等线" w:ascii="Arial" w:cs="Arial" w:hAnsi="Arial"/>
          <w:sz w:val="22"/>
        </w:rPr>
        <w:t>。</w:t>
      </w:r>
    </w:p>
    <w:p>
      <w:pPr>
        <w:pStyle w:val="3"/>
        <w:spacing w:before="300" w:after="120" w:line="288" w:lineRule="auto"/>
        <w:ind w:left="0"/>
        <w:jc w:val="left"/>
        <w:outlineLvl w:val="2"/>
      </w:pPr>
      <w:bookmarkStart w:name="heading_4" w:id="4"/>
      <w:r>
        <w:rPr>
          <w:rFonts w:eastAsia="等线" w:ascii="Arial" w:cs="Arial" w:hAnsi="Arial"/>
          <w:b w:val="true"/>
          <w:sz w:val="30"/>
        </w:rPr>
        <w:t>流序列化</w:t>
      </w:r>
      <w:bookmarkEnd w:id="4"/>
    </w:p>
    <w:p>
      <w:pPr>
        <w:spacing w:before="120" w:after="120" w:line="288" w:lineRule="auto"/>
        <w:ind w:left="0"/>
        <w:jc w:val="left"/>
      </w:pPr>
      <w:r>
        <w:rPr>
          <w:rFonts w:eastAsia="等线" w:ascii="Arial" w:cs="Arial" w:hAnsi="Arial"/>
          <w:sz w:val="22"/>
        </w:rPr>
        <w:t>可以将 TMDL 序列化/反序列化为流，以便将 TOM 对象转换为字节流，以实现跨平台的存储、传输和互操作性。 流 API 还允许你控制加载哪些 TMDL 文档以及输出了哪些 TMDL 文档。</w:t>
      </w:r>
    </w:p>
    <w:p>
      <w:pPr>
        <w:spacing w:before="120" w:after="120" w:line="288" w:lineRule="auto"/>
        <w:ind w:left="0"/>
        <w:jc w:val="left"/>
      </w:pPr>
      <w:r>
        <w:rPr>
          <w:rFonts w:eastAsia="等线" w:ascii="Arial" w:cs="Arial" w:hAnsi="Arial"/>
          <w:sz w:val="22"/>
        </w:rPr>
        <w:t xml:space="preserve">TMDL 流序列化由 </w:t>
      </w:r>
      <w:hyperlink r:id="rId17">
        <w:r>
          <w:rPr>
            <w:rFonts w:eastAsia="等线" w:ascii="Arial" w:cs="Arial" w:hAnsi="Arial"/>
            <w:b w:val="true"/>
            <w:color w:val="3370ff"/>
            <w:sz w:val="22"/>
          </w:rPr>
          <w:t xml:space="preserve">MetadataSerializationContext </w:t>
        </w:r>
      </w:hyperlink>
      <w:r>
        <w:rPr>
          <w:rFonts w:eastAsia="等线" w:ascii="Arial" w:cs="Arial" w:hAnsi="Arial"/>
          <w:sz w:val="22"/>
        </w:rPr>
        <w:t>类处理。</w:t>
      </w:r>
    </w:p>
    <w:p>
      <w:pPr>
        <w:spacing w:before="120" w:after="120" w:line="288" w:lineRule="auto"/>
        <w:ind w:left="0"/>
        <w:jc w:val="left"/>
      </w:pPr>
      <w:r>
        <w:rPr>
          <w:rFonts w:eastAsia="等线" w:ascii="Arial" w:cs="Arial" w:hAnsi="Arial"/>
          <w:sz w:val="22"/>
        </w:rPr>
        <w:t xml:space="preserve">详细了解 </w:t>
      </w:r>
      <w:hyperlink r:id="rId18">
        <w:r>
          <w:rPr>
            <w:rFonts w:eastAsia="等线" w:ascii="Arial" w:cs="Arial" w:hAnsi="Arial"/>
            <w:color w:val="3370ff"/>
            <w:sz w:val="22"/>
          </w:rPr>
          <w:t xml:space="preserve">如何使用流进行 TMDL 的序列化和反序列化 </w:t>
        </w:r>
      </w:hyperlink>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b w:val="true"/>
          <w:sz w:val="32"/>
        </w:rPr>
        <w:t>TMDL 语言</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对象声明</w:t>
      </w:r>
      <w:bookmarkEnd w:id="6"/>
    </w:p>
    <w:p>
      <w:pPr>
        <w:spacing w:before="120" w:after="120" w:line="288" w:lineRule="auto"/>
        <w:ind w:left="0"/>
        <w:jc w:val="left"/>
      </w:pPr>
      <w:r>
        <w:rPr>
          <w:rFonts w:eastAsia="等线" w:ascii="Arial" w:cs="Arial" w:hAnsi="Arial"/>
          <w:sz w:val="22"/>
        </w:rPr>
        <w:t xml:space="preserve">除了 Server 对象，TMDL 在 </w:t>
      </w:r>
      <w:r>
        <w:rPr>
          <w:rFonts w:eastAsia="等线" w:ascii="Arial" w:cs="Arial" w:hAnsi="Arial"/>
          <w:i w:val="true"/>
          <w:sz w:val="22"/>
        </w:rPr>
        <w:t xml:space="preserve">Microsoft.AnalysisServices.Tabular 命名空间 </w:t>
      </w:r>
      <w:r>
        <w:rPr>
          <w:rFonts w:eastAsia="等线" w:ascii="Arial" w:cs="Arial" w:hAnsi="Arial"/>
          <w:sz w:val="22"/>
        </w:rPr>
        <w:t xml:space="preserve">中公开整个 TOM </w:t>
      </w:r>
      <w:hyperlink r:id="rId19">
        <w:r>
          <w:rPr>
            <w:rFonts w:eastAsia="等线" w:ascii="Arial" w:cs="Arial" w:hAnsi="Arial"/>
            <w:color w:val="3370ff"/>
            <w:sz w:val="22"/>
          </w:rPr>
          <w:t xml:space="preserve">数据库 </w:t>
        </w:r>
      </w:hyperlink>
      <w:r>
        <w:rPr>
          <w:rFonts w:eastAsia="等线" w:ascii="Arial" w:cs="Arial" w:hAnsi="Arial"/>
          <w:sz w:val="22"/>
        </w:rPr>
        <w:t>对象树。</w:t>
      </w:r>
    </w:p>
    <w:p>
      <w:pPr>
        <w:spacing w:before="120" w:after="120" w:line="288" w:lineRule="auto"/>
        <w:ind w:left="0"/>
        <w:jc w:val="left"/>
      </w:pPr>
      <w:r>
        <w:rPr>
          <w:rFonts w:eastAsia="等线" w:ascii="Arial" w:cs="Arial" w:hAnsi="Arial"/>
          <w:sz w:val="22"/>
        </w:rPr>
        <w:t xml:space="preserve">通过指定 TOM 对象类型后跟其名称来声明 TMDL 对象。 在下面的代码示例中，每个对象类型 </w:t>
      </w:r>
      <w:r>
        <w:rPr>
          <w:rFonts w:eastAsia="Consolas" w:ascii="Consolas" w:cs="Consolas" w:hAnsi="Consolas"/>
          <w:sz w:val="22"/>
          <w:shd w:fill="EFF0F1"/>
        </w:rPr>
        <w:t>model</w:t>
      </w:r>
      <w:r>
        <w:rPr>
          <w:rFonts w:eastAsia="等线" w:ascii="Arial" w:cs="Arial" w:hAnsi="Arial"/>
          <w:sz w:val="22"/>
        </w:rPr>
        <w:t xml:space="preserve"> 、 </w:t>
      </w:r>
      <w:r>
        <w:rPr>
          <w:rFonts w:eastAsia="Consolas" w:ascii="Consolas" w:cs="Consolas" w:hAnsi="Consolas"/>
          <w:sz w:val="22"/>
          <w:shd w:fill="EFF0F1"/>
        </w:rPr>
        <w:t>table</w:t>
      </w:r>
      <w:r>
        <w:rPr>
          <w:rFonts w:eastAsia="等线" w:ascii="Arial" w:cs="Arial" w:hAnsi="Arial"/>
          <w:sz w:val="22"/>
        </w:rPr>
        <w:t xml:space="preserve"> 、 </w:t>
      </w:r>
      <w:r>
        <w:rPr>
          <w:rFonts w:eastAsia="Consolas" w:ascii="Consolas" w:cs="Consolas" w:hAnsi="Consolas"/>
          <w:sz w:val="22"/>
          <w:shd w:fill="EFF0F1"/>
        </w:rPr>
        <w:t>column</w:t>
      </w:r>
      <w:r>
        <w:rPr>
          <w:rFonts w:eastAsia="等线" w:ascii="Arial" w:cs="Arial" w:hAnsi="Arial"/>
          <w:sz w:val="22"/>
        </w:rPr>
        <w:t xml:space="preserve"> 后面跟着一个对象名称。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xml:space="preserve">model Model    </w:t>
              <w:br/>
              <w:t xml:space="preserve">    culture: en-US    </w:t>
              <w:br/>
              <w:br/>
              <w:t>table Sales</w:t>
              <w:br/>
              <w:t xml:space="preserve">    </w:t>
              <w:br/>
              <w:t xml:space="preserve">    measure Sales = SUM(…)</w:t>
              <w:br/>
              <w:t xml:space="preserve">        formatString: $ #,##0</w:t>
              <w:br/>
              <w:br/>
              <w:t xml:space="preserve">    column 'Customer Key'</w:t>
              <w:br/>
              <w:t xml:space="preserve">        datatype: int64</w:t>
              <w:br/>
            </w:r>
            <w:r>
              <w:rPr>
                <w:rFonts w:eastAsia="Consolas" w:ascii="Consolas" w:cs="Consolas" w:hAnsi="Consolas"/>
                <w:sz w:val="22"/>
              </w:rPr>
              <w:t xml:space="preserve">        sourceColumn: CustomerKey</w:t>
            </w:r>
          </w:p>
        </w:tc>
      </w:tr>
    </w:tbl>
    <w:p>
      <w:pPr>
        <w:spacing w:before="120" w:after="120" w:line="288" w:lineRule="auto"/>
        <w:ind w:left="0"/>
        <w:jc w:val="left"/>
      </w:pPr>
      <w:r>
        <w:rPr>
          <w:rFonts w:eastAsia="等线" w:ascii="Arial" w:cs="Arial" w:hAnsi="Arial"/>
          <w:sz w:val="22"/>
        </w:rPr>
        <w:t xml:space="preserve">对象（例如 </w:t>
      </w:r>
      <w:r>
        <w:rPr>
          <w:rFonts w:eastAsia="Consolas" w:ascii="Consolas" w:cs="Consolas" w:hAnsi="Consolas"/>
          <w:sz w:val="22"/>
          <w:shd w:fill="EFF0F1"/>
        </w:rPr>
        <w:t>partition</w:t>
      </w:r>
      <w:r>
        <w:rPr>
          <w:rFonts w:eastAsia="等线" w:ascii="Arial" w:cs="Arial" w:hAnsi="Arial"/>
          <w:sz w:val="22"/>
        </w:rPr>
        <w:t xml:space="preserve"> 或 </w:t>
      </w:r>
      <w:r>
        <w:rPr>
          <w:rFonts w:eastAsia="Consolas" w:ascii="Consolas" w:cs="Consolas" w:hAnsi="Consolas"/>
          <w:sz w:val="22"/>
          <w:shd w:fill="EFF0F1"/>
        </w:rPr>
        <w:t>measure</w:t>
      </w:r>
      <w:r>
        <w:rPr>
          <w:rFonts w:eastAsia="等线" w:ascii="Arial" w:cs="Arial" w:hAnsi="Arial"/>
          <w:sz w:val="22"/>
        </w:rPr>
        <w:t xml:space="preserve"> ）具有 默认属性 ，这些属性可以在对象声明的同一行的等号（ </w:t>
      </w:r>
      <w:r>
        <w:rPr>
          <w:rFonts w:eastAsia="等线" w:ascii="Arial" w:cs="Arial" w:hAnsi="Arial"/>
          <w:b w:val="true"/>
          <w:sz w:val="22"/>
        </w:rPr>
        <w:t xml:space="preserve">= </w:t>
      </w:r>
      <w:r>
        <w:rPr>
          <w:rFonts w:eastAsia="等线" w:ascii="Arial" w:cs="Arial" w:hAnsi="Arial"/>
          <w:sz w:val="22"/>
        </w:rPr>
        <w:t>）分隔符之后或在多行 表达式 的以下行中分配。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Sales</w:t>
              <w:br/>
              <w:br/>
              <w:t xml:space="preserve">    partition Sales-Part1 = m</w:t>
              <w:br/>
              <w:t xml:space="preserve">        mode: import</w:t>
              <w:br/>
              <w:t xml:space="preserve">        ...        </w:t>
              <w:br/>
              <w:t xml:space="preserve">    </w:t>
              <w:br/>
              <w:t xml:space="preserve">    measure Sales = SUM(…)</w:t>
              <w:br/>
              <w:t xml:space="preserve">        formatString: $ #,##0</w:t>
              <w:br/>
              <w:br/>
              <w:t xml:space="preserve">    measure 'Sales (ly)' = </w:t>
              <w:br/>
              <w:t xml:space="preserve">            var ly = ...</w:t>
              <w:br/>
              <w:t xml:space="preserve">            return ly</w:t>
              <w:br/>
            </w:r>
            <w:r>
              <w:rPr>
                <w:rFonts w:eastAsia="Consolas" w:ascii="Consolas" w:cs="Consolas" w:hAnsi="Consolas"/>
                <w:sz w:val="22"/>
              </w:rPr>
              <w:t xml:space="preserve">        formatString: $ #,##0</w:t>
            </w:r>
          </w:p>
        </w:tc>
      </w:tr>
    </w:tbl>
    <w:p>
      <w:pPr>
        <w:spacing w:before="120" w:after="120" w:line="288" w:lineRule="auto"/>
        <w:ind w:left="0"/>
        <w:jc w:val="left"/>
      </w:pPr>
      <w:r>
        <w:rPr>
          <w:rFonts w:eastAsia="等线" w:ascii="Arial" w:cs="Arial" w:hAnsi="Arial"/>
          <w:sz w:val="22"/>
        </w:rPr>
        <w:t xml:space="preserve">如果 TMDL 对象名称包含以下任何字符，则必须用单引号（ </w:t>
      </w:r>
      <w:r>
        <w:rPr>
          <w:rFonts w:eastAsia="等线" w:ascii="Arial" w:cs="Arial" w:hAnsi="Arial"/>
          <w:b w:val="true"/>
          <w:sz w:val="22"/>
        </w:rPr>
        <w:t xml:space="preserve">' </w:t>
      </w:r>
      <w:r>
        <w:rPr>
          <w:rFonts w:eastAsia="等线" w:ascii="Arial" w:cs="Arial" w:hAnsi="Arial"/>
          <w:sz w:val="22"/>
        </w:rPr>
        <w:t>）括起来：</w:t>
      </w:r>
    </w:p>
    <w:p>
      <w:pPr>
        <w:numPr>
          <w:numId w:val="31"/>
        </w:numPr>
        <w:spacing w:before="120" w:after="120" w:line="288" w:lineRule="auto"/>
        <w:ind w:left="0"/>
        <w:jc w:val="left"/>
      </w:pPr>
      <w:r>
        <w:rPr>
          <w:rFonts w:eastAsia="等线" w:ascii="Arial" w:cs="Arial" w:hAnsi="Arial"/>
          <w:sz w:val="22"/>
        </w:rPr>
        <w:t xml:space="preserve">点 （ </w:t>
      </w:r>
      <w:r>
        <w:rPr>
          <w:rFonts w:eastAsia="等线" w:ascii="Arial" w:cs="Arial" w:hAnsi="Arial"/>
          <w:b w:val="true"/>
          <w:sz w:val="22"/>
        </w:rPr>
        <w:t xml:space="preserve">. </w:t>
      </w:r>
      <w:r>
        <w:rPr>
          <w:rFonts w:eastAsia="等线" w:ascii="Arial" w:cs="Arial" w:hAnsi="Arial"/>
          <w:sz w:val="22"/>
        </w:rPr>
        <w:t>）</w:t>
      </w:r>
    </w:p>
    <w:p>
      <w:pPr>
        <w:numPr>
          <w:numId w:val="32"/>
        </w:numPr>
        <w:spacing w:before="120" w:after="120" w:line="288" w:lineRule="auto"/>
        <w:ind w:left="0"/>
        <w:jc w:val="left"/>
      </w:pPr>
      <w:r>
        <w:rPr>
          <w:rFonts w:eastAsia="等线" w:ascii="Arial" w:cs="Arial" w:hAnsi="Arial"/>
          <w:sz w:val="22"/>
        </w:rPr>
        <w:t xml:space="preserve">等于 （ </w:t>
      </w:r>
      <w:r>
        <w:rPr>
          <w:rFonts w:eastAsia="等线" w:ascii="Arial" w:cs="Arial" w:hAnsi="Arial"/>
          <w:b w:val="true"/>
          <w:sz w:val="22"/>
        </w:rPr>
        <w:t xml:space="preserve">= </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sz w:val="22"/>
        </w:rPr>
        <w:t xml:space="preserve">冒号 （ </w:t>
      </w:r>
      <w:r>
        <w:rPr>
          <w:rFonts w:eastAsia="等线" w:ascii="Arial" w:cs="Arial" w:hAnsi="Arial"/>
          <w:b w:val="true"/>
          <w:sz w:val="22"/>
        </w:rPr>
        <w:t xml:space="preserve">： </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 xml:space="preserve">单引号 （ </w:t>
      </w:r>
      <w:r>
        <w:rPr>
          <w:rFonts w:eastAsia="等线" w:ascii="Arial" w:cs="Arial" w:hAnsi="Arial"/>
          <w:b w:val="true"/>
          <w:sz w:val="22"/>
        </w:rPr>
        <w:t xml:space="preserve">' </w:t>
      </w:r>
      <w:r>
        <w:rPr>
          <w:rFonts w:eastAsia="等线" w:ascii="Arial" w:cs="Arial" w:hAnsi="Arial"/>
          <w:sz w:val="22"/>
        </w:rPr>
        <w:t>）</w:t>
      </w:r>
    </w:p>
    <w:p>
      <w:pPr>
        <w:numPr>
          <w:numId w:val="35"/>
        </w:numPr>
        <w:spacing w:before="120" w:after="120" w:line="288" w:lineRule="auto"/>
        <w:ind w:left="0"/>
        <w:jc w:val="left"/>
      </w:pPr>
      <w:r>
        <w:rPr>
          <w:rFonts w:eastAsia="等线" w:ascii="Arial" w:cs="Arial" w:hAnsi="Arial"/>
          <w:sz w:val="22"/>
        </w:rPr>
        <w:t>空格 （ ）</w:t>
      </w:r>
    </w:p>
    <w:p>
      <w:pPr>
        <w:spacing w:before="120" w:after="120" w:line="288" w:lineRule="auto"/>
        <w:ind w:left="0"/>
        <w:jc w:val="left"/>
      </w:pPr>
      <w:r>
        <w:rPr>
          <w:rFonts w:eastAsia="等线" w:ascii="Arial" w:cs="Arial" w:hAnsi="Arial"/>
          <w:sz w:val="22"/>
        </w:rPr>
        <w:t xml:space="preserve">如果对象名称包含单引号（ </w:t>
      </w:r>
      <w:r>
        <w:rPr>
          <w:rFonts w:eastAsia="等线" w:ascii="Arial" w:cs="Arial" w:hAnsi="Arial"/>
          <w:b w:val="true"/>
          <w:sz w:val="22"/>
        </w:rPr>
        <w:t xml:space="preserve">' </w:t>
      </w:r>
      <w:r>
        <w:rPr>
          <w:rFonts w:eastAsia="等线" w:ascii="Arial" w:cs="Arial" w:hAnsi="Arial"/>
          <w:sz w:val="22"/>
        </w:rPr>
        <w:t>），请使用两个单引号对其进行转义。</w:t>
      </w:r>
    </w:p>
    <w:p>
      <w:pPr>
        <w:pStyle w:val="3"/>
        <w:spacing w:before="300" w:after="120" w:line="288" w:lineRule="auto"/>
        <w:ind w:left="0"/>
        <w:jc w:val="left"/>
        <w:outlineLvl w:val="2"/>
      </w:pPr>
      <w:bookmarkStart w:name="heading_7" w:id="7"/>
      <w:r>
        <w:rPr>
          <w:rFonts w:eastAsia="等线" w:ascii="Arial" w:cs="Arial" w:hAnsi="Arial"/>
          <w:b w:val="true"/>
          <w:sz w:val="30"/>
        </w:rPr>
        <w:t>对象属性</w:t>
      </w:r>
      <w:bookmarkEnd w:id="7"/>
    </w:p>
    <w:p>
      <w:pPr>
        <w:spacing w:before="120" w:after="120" w:line="288" w:lineRule="auto"/>
        <w:ind w:left="0"/>
        <w:jc w:val="left"/>
      </w:pPr>
      <w:r>
        <w:rPr>
          <w:rFonts w:eastAsia="等线" w:ascii="Arial" w:cs="Arial" w:hAnsi="Arial"/>
          <w:sz w:val="22"/>
        </w:rPr>
        <w:t xml:space="preserve">对象属性在对象声明或对象默认属性多行表达式之后指定。 对象属性值在冒号 （ </w:t>
      </w:r>
      <w:r>
        <w:rPr>
          <w:rFonts w:eastAsia="等线" w:ascii="Arial" w:cs="Arial" w:hAnsi="Arial"/>
          <w:b w:val="true"/>
          <w:sz w:val="22"/>
        </w:rPr>
        <w:t xml:space="preserve">： </w:t>
      </w:r>
      <w:r>
        <w:rPr>
          <w:rFonts w:eastAsia="等线" w:ascii="Arial" w:cs="Arial" w:hAnsi="Arial"/>
          <w:sz w:val="22"/>
        </w:rPr>
        <w:t>） 分隔符下指定。 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Sales</w:t>
              <w:br/>
              <w:t xml:space="preserve">    lineageTag: e9374b9a-faee-4f9e-b2e7-d9aafb9d6a91    </w:t>
              <w:br/>
              <w:br/>
              <w:t xml:space="preserve">    column Quantity</w:t>
              <w:br/>
              <w:t xml:space="preserve">        dataType: int64</w:t>
              <w:br/>
              <w:t xml:space="preserve">        isHidden</w:t>
              <w:br/>
              <w:t xml:space="preserve">        isAvailableInMdx: false</w:t>
              <w:br/>
              <w:t xml:space="preserve">        sourceColumn: Quantity</w:t>
              <w:br/>
              <w:br/>
              <w:t xml:space="preserve">    measure 'Sales Amount' = </w:t>
              <w:br/>
              <w:t xml:space="preserve">            var result = SUMX(...)</w:t>
              <w:br/>
              <w:t xml:space="preserve">            return result</w:t>
              <w:br/>
              <w:t xml:space="preserve">  formatString: $ #,##0</w:t>
              <w:br/>
            </w:r>
            <w:r>
              <w:rPr>
                <w:rFonts w:eastAsia="Consolas" w:ascii="Consolas" w:cs="Consolas" w:hAnsi="Consolas"/>
                <w:sz w:val="22"/>
              </w:rPr>
              <w:t xml:space="preserve">  displayFolder: " My ""Amazing"" Measures"</w:t>
            </w:r>
          </w:p>
        </w:tc>
      </w:tr>
    </w:tbl>
    <w:p>
      <w:pPr>
        <w:spacing w:before="120" w:after="120" w:line="288" w:lineRule="auto"/>
        <w:ind w:left="0"/>
        <w:jc w:val="left"/>
      </w:pPr>
      <w:r>
        <w:rPr>
          <w:rFonts w:eastAsia="等线" w:ascii="Arial" w:cs="Arial" w:hAnsi="Arial"/>
          <w:sz w:val="22"/>
        </w:rPr>
        <w:t>以下规则适用于属性值：</w:t>
      </w:r>
    </w:p>
    <w:p>
      <w:pPr>
        <w:numPr>
          <w:numId w:val="36"/>
        </w:numPr>
        <w:spacing w:before="120" w:after="120" w:line="288" w:lineRule="auto"/>
        <w:ind w:left="0"/>
        <w:jc w:val="left"/>
      </w:pPr>
      <w:r>
        <w:rPr>
          <w:rFonts w:eastAsia="等线" w:ascii="Arial" w:cs="Arial" w:hAnsi="Arial"/>
          <w:sz w:val="22"/>
        </w:rPr>
        <w:t>值必须位于冒号之后的同一行中，并且不能具有多行。</w:t>
      </w:r>
    </w:p>
    <w:p>
      <w:pPr>
        <w:numPr>
          <w:numId w:val="37"/>
        </w:numPr>
        <w:spacing w:before="120" w:after="120" w:line="288" w:lineRule="auto"/>
        <w:ind w:left="0"/>
        <w:jc w:val="left"/>
      </w:pPr>
      <w:r>
        <w:rPr>
          <w:rFonts w:eastAsia="等线" w:ascii="Arial" w:cs="Arial" w:hAnsi="Arial"/>
          <w:sz w:val="22"/>
        </w:rPr>
        <w:t>文本属性值</w:t>
      </w:r>
    </w:p>
    <w:p>
      <w:pPr>
        <w:numPr>
          <w:numId w:val="38"/>
        </w:numPr>
        <w:spacing w:before="120" w:after="120" w:line="288" w:lineRule="auto"/>
        <w:ind w:left="453"/>
        <w:jc w:val="left"/>
      </w:pPr>
      <w:r>
        <w:rPr>
          <w:rFonts w:eastAsia="等线" w:ascii="Arial" w:cs="Arial" w:hAnsi="Arial"/>
          <w:sz w:val="22"/>
        </w:rPr>
        <w:t>前导和尾随双引号是可选的，在序列化期间自动去除。</w:t>
      </w:r>
    </w:p>
    <w:p>
      <w:pPr>
        <w:numPr>
          <w:numId w:val="39"/>
        </w:numPr>
        <w:spacing w:before="120" w:after="120" w:line="288" w:lineRule="auto"/>
        <w:ind w:left="453"/>
        <w:jc w:val="left"/>
      </w:pPr>
      <w:r>
        <w:rPr>
          <w:rFonts w:eastAsia="等线" w:ascii="Arial" w:cs="Arial" w:hAnsi="Arial"/>
          <w:sz w:val="22"/>
        </w:rPr>
        <w:t xml:space="preserve">如果文本包含尾随空格或前导空格，则必须用双引号（ </w:t>
      </w:r>
      <w:r>
        <w:rPr>
          <w:rFonts w:eastAsia="等线" w:ascii="Arial" w:cs="Arial" w:hAnsi="Arial"/>
          <w:b w:val="true"/>
          <w:sz w:val="22"/>
        </w:rPr>
        <w:t xml:space="preserve">“ </w:t>
      </w:r>
      <w:r>
        <w:rPr>
          <w:rFonts w:eastAsia="等线" w:ascii="Arial" w:cs="Arial" w:hAnsi="Arial"/>
          <w:sz w:val="22"/>
        </w:rPr>
        <w:t>）括起来。</w:t>
      </w:r>
    </w:p>
    <w:p>
      <w:pPr>
        <w:numPr>
          <w:numId w:val="40"/>
        </w:numPr>
        <w:spacing w:before="120" w:after="120" w:line="288" w:lineRule="auto"/>
        <w:ind w:left="453"/>
        <w:jc w:val="left"/>
      </w:pPr>
      <w:r>
        <w:rPr>
          <w:rFonts w:eastAsia="等线" w:ascii="Arial" w:cs="Arial" w:hAnsi="Arial"/>
          <w:sz w:val="22"/>
        </w:rPr>
        <w:t xml:space="preserve">当用双引号括起来时，如果值包含双引号，请使用两个双引号来转义它们（请参阅上面的代码示例中的 </w:t>
      </w:r>
      <w:r>
        <w:rPr>
          <w:rFonts w:eastAsia="Consolas" w:ascii="Consolas" w:cs="Consolas" w:hAnsi="Consolas"/>
          <w:sz w:val="22"/>
          <w:shd w:fill="EFF0F1"/>
        </w:rPr>
        <w:t>displayFolder</w:t>
      </w:r>
      <w:r>
        <w:rPr>
          <w:rFonts w:eastAsia="等线" w:ascii="Arial" w:cs="Arial" w:hAnsi="Arial"/>
          <w:sz w:val="22"/>
        </w:rPr>
        <w:t xml:space="preserve"> 属性）。</w:t>
      </w:r>
    </w:p>
    <w:p>
      <w:pPr>
        <w:numPr>
          <w:numId w:val="41"/>
        </w:numPr>
        <w:spacing w:before="120" w:after="120" w:line="288" w:lineRule="auto"/>
        <w:ind w:left="0"/>
        <w:jc w:val="left"/>
      </w:pPr>
      <w:r>
        <w:rPr>
          <w:rFonts w:eastAsia="等线" w:ascii="Arial" w:cs="Arial" w:hAnsi="Arial"/>
          <w:sz w:val="22"/>
        </w:rPr>
        <w:t xml:space="preserve">可以使用标准键/值对语法来设置 </w:t>
      </w:r>
      <w:r>
        <w:rPr>
          <w:rFonts w:eastAsia="等线" w:ascii="Arial" w:cs="Arial" w:hAnsi="Arial"/>
          <w:b w:val="true"/>
          <w:sz w:val="22"/>
        </w:rPr>
        <w:t xml:space="preserve">布尔属性 </w:t>
      </w:r>
      <w:r>
        <w:rPr>
          <w:rFonts w:eastAsia="等线" w:ascii="Arial" w:cs="Arial" w:hAnsi="Arial"/>
          <w:sz w:val="22"/>
        </w:rPr>
        <w:t xml:space="preserve">，如 </w:t>
      </w:r>
      <w:r>
        <w:rPr>
          <w:rFonts w:eastAsia="Consolas" w:ascii="Consolas" w:cs="Consolas" w:hAnsi="Consolas"/>
          <w:sz w:val="22"/>
          <w:shd w:fill="EFF0F1"/>
        </w:rPr>
        <w:t>'isAvailableInMdx'</w:t>
      </w:r>
      <w:r>
        <w:rPr>
          <w:rFonts w:eastAsia="等线" w:ascii="Arial" w:cs="Arial" w:hAnsi="Arial"/>
          <w:sz w:val="22"/>
        </w:rPr>
        <w:t xml:space="preserve"> 上一示例中的属性。 还可以通过使用仅声明属性名称且 </w:t>
      </w:r>
      <w:r>
        <w:rPr>
          <w:rFonts w:eastAsia="Consolas" w:ascii="Consolas" w:cs="Consolas" w:hAnsi="Consolas"/>
          <w:sz w:val="22"/>
          <w:shd w:fill="EFF0F1"/>
        </w:rPr>
        <w:t>true</w:t>
      </w:r>
      <w:r>
        <w:rPr>
          <w:rFonts w:eastAsia="等线" w:ascii="Arial" w:cs="Arial" w:hAnsi="Arial"/>
          <w:sz w:val="22"/>
        </w:rPr>
        <w:t xml:space="preserve"> 隐含的快捷语法来设置它们。 例如，请参阅上一示例中的“isHidden”属性。</w:t>
      </w:r>
    </w:p>
    <w:p>
      <w:pPr>
        <w:pStyle w:val="4"/>
        <w:spacing w:before="260" w:after="120" w:line="288" w:lineRule="auto"/>
        <w:ind w:left="0"/>
        <w:jc w:val="left"/>
        <w:outlineLvl w:val="3"/>
      </w:pPr>
      <w:bookmarkStart w:name="heading_8" w:id="8"/>
      <w:r>
        <w:rPr>
          <w:rFonts w:eastAsia="等线" w:ascii="Arial" w:cs="Arial" w:hAnsi="Arial"/>
          <w:b w:val="true"/>
          <w:sz w:val="28"/>
        </w:rPr>
        <w:t>命名对象引用</w:t>
      </w:r>
      <w:bookmarkEnd w:id="8"/>
    </w:p>
    <w:p>
      <w:pPr>
        <w:spacing w:before="120" w:after="120" w:line="288" w:lineRule="auto"/>
        <w:ind w:left="0"/>
        <w:jc w:val="left"/>
      </w:pPr>
      <w:r>
        <w:rPr>
          <w:rFonts w:eastAsia="等线" w:ascii="Arial" w:cs="Arial" w:hAnsi="Arial"/>
          <w:sz w:val="22"/>
        </w:rPr>
        <w:t>某些对象属性保存对其他模型对象的引用，例如：</w:t>
      </w:r>
    </w:p>
    <w:p>
      <w:pPr>
        <w:numPr>
          <w:numId w:val="42"/>
        </w:numPr>
        <w:spacing w:before="120" w:after="120" w:line="288" w:lineRule="auto"/>
        <w:ind w:left="0"/>
        <w:jc w:val="left"/>
      </w:pPr>
      <w:r>
        <w:rPr>
          <w:rFonts w:eastAsia="等线" w:ascii="Arial" w:cs="Arial" w:hAnsi="Arial"/>
          <w:sz w:val="22"/>
        </w:rPr>
        <w:t>层次结构级别的列引用。</w:t>
      </w:r>
    </w:p>
    <w:p>
      <w:pPr>
        <w:numPr>
          <w:numId w:val="43"/>
        </w:numPr>
        <w:spacing w:before="120" w:after="120" w:line="288" w:lineRule="auto"/>
        <w:ind w:left="0"/>
        <w:jc w:val="left"/>
      </w:pPr>
      <w:r>
        <w:rPr>
          <w:rFonts w:eastAsia="等线" w:ascii="Arial" w:cs="Arial" w:hAnsi="Arial"/>
          <w:sz w:val="22"/>
        </w:rPr>
        <w:t>每个表列中的 sortByColumn 引用。</w:t>
      </w:r>
    </w:p>
    <w:p>
      <w:pPr>
        <w:numPr>
          <w:numId w:val="44"/>
        </w:numPr>
        <w:spacing w:before="120" w:after="120" w:line="288" w:lineRule="auto"/>
        <w:ind w:left="0"/>
        <w:jc w:val="left"/>
      </w:pPr>
      <w:r>
        <w:rPr>
          <w:rFonts w:eastAsia="等线" w:ascii="Arial" w:cs="Arial" w:hAnsi="Arial"/>
          <w:sz w:val="22"/>
        </w:rPr>
        <w:t>透视中的表/列/度量值引用。</w:t>
      </w:r>
    </w:p>
    <w:p>
      <w:pPr>
        <w:spacing w:before="120" w:after="120" w:line="288" w:lineRule="auto"/>
        <w:ind w:left="0"/>
        <w:jc w:val="left"/>
      </w:pPr>
      <w:r>
        <w:rPr>
          <w:rFonts w:eastAsia="等线" w:ascii="Arial" w:cs="Arial" w:hAnsi="Arial"/>
          <w:sz w:val="22"/>
        </w:rPr>
        <w:t xml:space="preserve">在 TMDL 中，引用时使用对象名称，并遵循与对象声明相同的转义和用单引号 ( </w:t>
      </w:r>
      <w:r>
        <w:rPr>
          <w:rFonts w:eastAsia="等线" w:ascii="Arial" w:cs="Arial" w:hAnsi="Arial"/>
          <w:b w:val="true"/>
          <w:sz w:val="22"/>
        </w:rPr>
        <w:t xml:space="preserve">' </w:t>
      </w:r>
      <w:r>
        <w:rPr>
          <w:rFonts w:eastAsia="等线" w:ascii="Arial" w:cs="Arial" w:hAnsi="Arial"/>
          <w:sz w:val="22"/>
        </w:rPr>
        <w:t xml:space="preserve">) 括起来的要求。 在下面的代码示例中，可以看到保存对另一个对象的引用的对象属性： </w:t>
      </w:r>
      <w:r>
        <w:rPr>
          <w:rFonts w:eastAsia="Consolas" w:ascii="Consolas" w:cs="Consolas" w:hAnsi="Consolas"/>
          <w:sz w:val="22"/>
          <w:shd w:fill="EFF0F1"/>
        </w:rPr>
        <w:t>column.sortByColumn</w:t>
      </w:r>
      <w:r>
        <w:rPr>
          <w:rFonts w:eastAsia="等线" w:ascii="Arial" w:cs="Arial" w:hAnsi="Arial"/>
          <w:sz w:val="22"/>
        </w:rPr>
        <w:t xml:space="preserve"> ， </w:t>
      </w:r>
      <w:r>
        <w:rPr>
          <w:rFonts w:eastAsia="Consolas" w:ascii="Consolas" w:cs="Consolas" w:hAnsi="Consolas"/>
          <w:sz w:val="22"/>
          <w:shd w:fill="EFF0F1"/>
        </w:rPr>
        <w:t>level.column</w:t>
      </w:r>
      <w:r>
        <w:rPr>
          <w:rFonts w:eastAsia="等线" w:ascii="Arial" w:cs="Arial" w:hAnsi="Arial"/>
          <w:sz w:val="22"/>
        </w:rPr>
        <w:t xml:space="preserve"> </w:t>
      </w:r>
      <w:r>
        <w:rPr>
          <w:rFonts w:eastAsia="Consolas" w:ascii="Consolas" w:cs="Consolas" w:hAnsi="Consolas"/>
          <w:sz w:val="22"/>
          <w:shd w:fill="EFF0F1"/>
        </w:rPr>
        <w:t>perspectiveMeasure.measure</w:t>
      </w:r>
      <w:r>
        <w:rPr>
          <w:rFonts w:eastAsia="等线" w:ascii="Arial" w:cs="Arial" w:hAnsi="Arial"/>
          <w:sz w:val="22"/>
        </w:rPr>
        <w:t xml:space="preserve"> 以及 </w:t>
      </w:r>
      <w:r>
        <w:rPr>
          <w:rFonts w:eastAsia="Consolas" w:ascii="Consolas" w:cs="Consolas" w:hAnsi="Consolas"/>
          <w:sz w:val="22"/>
          <w:shd w:fill="EFF0F1"/>
        </w:rPr>
        <w:t>perspectiveTable.table</w:t>
      </w: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br/>
              <w:t>table Product</w:t>
              <w:br/>
              <w:br/>
              <w:t xml:space="preserve">    column Category</w:t>
              <w:br/>
              <w:t xml:space="preserve">        sortByColumn: 'Category Order'    </w:t>
              <w:br/>
              <w:br/>
              <w:t xml:space="preserve"> hierarchy 'Product Hierarchy'</w:t>
              <w:br/>
              <w:br/>
              <w:t xml:space="preserve">  level Category   </w:t>
              <w:br/>
              <w:t xml:space="preserve">   column: Category  </w:t>
              <w:br/>
              <w:t xml:space="preserve"> </w:t>
              <w:br/>
              <w:br/>
              <w:t>perspective Product</w:t>
              <w:br/>
              <w:br/>
              <w:t xml:space="preserve"> perspectiveTable Product</w:t>
              <w:br/>
              <w:br/>
            </w:r>
            <w:r>
              <w:rPr>
                <w:rFonts w:eastAsia="Consolas" w:ascii="Consolas" w:cs="Consolas" w:hAnsi="Consolas"/>
                <w:sz w:val="22"/>
              </w:rPr>
              <w:t xml:space="preserve">        perspectiveMeasure '# Products'</w:t>
            </w:r>
          </w:p>
        </w:tc>
      </w:tr>
    </w:tbl>
    <w:p>
      <w:pPr>
        <w:spacing w:before="120" w:after="120" w:line="288" w:lineRule="auto"/>
        <w:ind w:left="0"/>
        <w:jc w:val="left"/>
      </w:pPr>
      <w:r>
        <w:rPr>
          <w:rFonts w:eastAsia="等线" w:ascii="Arial" w:cs="Arial" w:hAnsi="Arial"/>
          <w:sz w:val="22"/>
        </w:rPr>
        <w:t xml:space="preserve">如果需要引用完全限定的名称，TMDL 使用 </w:t>
      </w:r>
      <w:r>
        <w:rPr>
          <w:rFonts w:eastAsia="等线" w:ascii="Arial" w:cs="Arial" w:hAnsi="Arial"/>
          <w:i w:val="true"/>
          <w:sz w:val="22"/>
        </w:rPr>
        <w:t xml:space="preserve">点 </w:t>
      </w:r>
      <w:r>
        <w:rPr>
          <w:rFonts w:eastAsia="等线" w:ascii="Arial" w:cs="Arial" w:hAnsi="Arial"/>
          <w:sz w:val="22"/>
        </w:rPr>
        <w:t xml:space="preserve">表示法引用对象，例如： </w:t>
      </w:r>
      <w:r>
        <w:rPr>
          <w:rFonts w:eastAsia="Consolas" w:ascii="Consolas" w:cs="Consolas" w:hAnsi="Consolas"/>
          <w:sz w:val="22"/>
          <w:shd w:fill="EFF0F1"/>
        </w:rPr>
        <w:t>'Table 1'.'Column 1'</w:t>
      </w:r>
    </w:p>
    <w:p>
      <w:pPr>
        <w:pStyle w:val="3"/>
        <w:spacing w:before="300" w:after="120" w:line="288" w:lineRule="auto"/>
        <w:ind w:left="0"/>
        <w:jc w:val="left"/>
        <w:outlineLvl w:val="2"/>
      </w:pPr>
      <w:bookmarkStart w:name="heading_9" w:id="9"/>
      <w:r>
        <w:rPr>
          <w:rFonts w:eastAsia="等线" w:ascii="Arial" w:cs="Arial" w:hAnsi="Arial"/>
          <w:b w:val="true"/>
          <w:sz w:val="30"/>
        </w:rPr>
        <w:t>子对象</w:t>
      </w:r>
      <w:bookmarkEnd w:id="9"/>
    </w:p>
    <w:p>
      <w:pPr>
        <w:spacing w:before="120" w:after="120" w:line="288" w:lineRule="auto"/>
        <w:ind w:left="0"/>
        <w:jc w:val="left"/>
      </w:pPr>
      <w:r>
        <w:rPr>
          <w:rFonts w:eastAsia="等线" w:ascii="Arial" w:cs="Arial" w:hAnsi="Arial"/>
          <w:sz w:val="22"/>
        </w:rPr>
        <w:t>TOM 对象树包含多个位置及不同级别的子对象。 例如：</w:t>
      </w:r>
    </w:p>
    <w:p>
      <w:pPr>
        <w:numPr>
          <w:numId w:val="45"/>
        </w:numPr>
        <w:spacing w:before="120" w:after="120" w:line="288" w:lineRule="auto"/>
        <w:ind w:left="0"/>
        <w:jc w:val="left"/>
      </w:pPr>
      <w:r>
        <w:rPr>
          <w:rFonts w:eastAsia="等线" w:ascii="Arial" w:cs="Arial" w:hAnsi="Arial"/>
          <w:sz w:val="22"/>
        </w:rPr>
        <w:t>模型对象包含表、角色和表达式对象。</w:t>
      </w:r>
    </w:p>
    <w:p>
      <w:pPr>
        <w:numPr>
          <w:numId w:val="46"/>
        </w:numPr>
        <w:spacing w:before="120" w:after="120" w:line="288" w:lineRule="auto"/>
        <w:ind w:left="0"/>
        <w:jc w:val="left"/>
      </w:pPr>
      <w:r>
        <w:rPr>
          <w:rFonts w:eastAsia="等线" w:ascii="Arial" w:cs="Arial" w:hAnsi="Arial"/>
          <w:sz w:val="22"/>
        </w:rPr>
        <w:t>表对象包含列、度量值和层次结构对象。</w:t>
      </w:r>
    </w:p>
    <w:p>
      <w:pPr>
        <w:spacing w:before="120" w:after="120" w:line="288" w:lineRule="auto"/>
        <w:ind w:left="0"/>
        <w:jc w:val="left"/>
      </w:pPr>
      <w:r>
        <w:rPr>
          <w:rFonts w:eastAsia="等线" w:ascii="Arial" w:cs="Arial" w:hAnsi="Arial"/>
          <w:sz w:val="22"/>
        </w:rPr>
        <w:t>TMDL 不会显式声明子集合。 相反，其各自父级范围内的所有适用子元素都隐式构成相应集合的元素。 例如，特定表范围内的所有列元素都将成为 TOM 中该表的列集合的元素，如下所示：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Sales</w:t>
              <w:br/>
              <w:br/>
              <w:t xml:space="preserve">    measure 'Sales Amount' = SUMX('Sales', [Quantity] * [Net Price])</w:t>
              <w:br/>
              <w:br/>
              <w:t xml:space="preserve">    measure 'Total Quantity' = SUM('Sales'[Quantity])</w:t>
              <w:br/>
              <w:br/>
            </w:r>
            <w:r>
              <w:rPr>
                <w:rFonts w:eastAsia="Consolas" w:ascii="Consolas" w:cs="Consolas" w:hAnsi="Consolas"/>
                <w:sz w:val="22"/>
              </w:rPr>
              <w:t xml:space="preserve">    measure 'Sales Amount YTD' = TOTALYTD([Sales Amount], 'Calendar'[Date])    </w:t>
            </w:r>
          </w:p>
        </w:tc>
      </w:tr>
    </w:tbl>
    <w:p>
      <w:pPr>
        <w:spacing w:before="120" w:after="120" w:line="288" w:lineRule="auto"/>
        <w:ind w:left="0"/>
        <w:jc w:val="left"/>
      </w:pPr>
      <w:r>
        <w:rPr>
          <w:rFonts w:eastAsia="等线" w:ascii="Arial" w:cs="Arial" w:hAnsi="Arial"/>
          <w:sz w:val="22"/>
        </w:rPr>
        <w:t>子对象不必连续。 例如，可以按任意顺序声明列和度量值并相互关联。</w:t>
      </w:r>
    </w:p>
    <w:p>
      <w:pPr>
        <w:pStyle w:val="3"/>
        <w:spacing w:before="300" w:after="120" w:line="288" w:lineRule="auto"/>
        <w:ind w:left="0"/>
        <w:jc w:val="left"/>
        <w:outlineLvl w:val="2"/>
      </w:pPr>
      <w:bookmarkStart w:name="heading_10" w:id="10"/>
      <w:r>
        <w:rPr>
          <w:rFonts w:eastAsia="等线" w:ascii="Arial" w:cs="Arial" w:hAnsi="Arial"/>
          <w:b w:val="true"/>
          <w:sz w:val="30"/>
        </w:rPr>
        <w:t>默认属性</w:t>
      </w:r>
      <w:bookmarkEnd w:id="10"/>
    </w:p>
    <w:p>
      <w:pPr>
        <w:spacing w:before="120" w:after="120" w:line="288" w:lineRule="auto"/>
        <w:ind w:left="0"/>
        <w:jc w:val="left"/>
      </w:pPr>
      <w:r>
        <w:rPr>
          <w:rFonts w:eastAsia="等线" w:ascii="Arial" w:cs="Arial" w:hAnsi="Arial"/>
          <w:sz w:val="22"/>
        </w:rPr>
        <w:t xml:space="preserve">某些对象类型具有默认属性，大多数时间都被视为 表达式 。 默认属性特定于对象类型。 如果适用，则在节声明之后，属性值或表达式通过等号（ </w:t>
      </w:r>
      <w:r>
        <w:rPr>
          <w:rFonts w:eastAsia="等线" w:ascii="Arial" w:cs="Arial" w:hAnsi="Arial"/>
          <w:b w:val="true"/>
          <w:sz w:val="22"/>
        </w:rPr>
        <w:t xml:space="preserve">= </w:t>
      </w:r>
      <w:r>
        <w:rPr>
          <w:rFonts w:eastAsia="等线" w:ascii="Arial" w:cs="Arial" w:hAnsi="Arial"/>
          <w:sz w:val="22"/>
        </w:rPr>
        <w:t>）分隔符指定。</w:t>
      </w:r>
    </w:p>
    <w:p>
      <w:pPr>
        <w:spacing w:before="120" w:after="120" w:line="288" w:lineRule="auto"/>
        <w:ind w:left="0"/>
        <w:jc w:val="left"/>
      </w:pPr>
      <w:r>
        <w:rPr>
          <w:rFonts w:eastAsia="等线" w:ascii="Arial" w:cs="Arial" w:hAnsi="Arial"/>
          <w:sz w:val="22"/>
        </w:rPr>
        <w:t>支持的语法：</w:t>
      </w:r>
    </w:p>
    <w:p>
      <w:pPr>
        <w:numPr>
          <w:numId w:val="47"/>
        </w:numPr>
        <w:spacing w:before="120" w:after="120" w:line="288" w:lineRule="auto"/>
        <w:ind w:left="0"/>
        <w:jc w:val="left"/>
      </w:pPr>
      <w:r>
        <w:rPr>
          <w:rFonts w:eastAsia="等线" w:ascii="Arial" w:cs="Arial" w:hAnsi="Arial"/>
          <w:sz w:val="22"/>
        </w:rPr>
        <w:t>该值在节标头所在的同一行上指定。</w:t>
      </w:r>
    </w:p>
    <w:p>
      <w:pPr>
        <w:numPr>
          <w:numId w:val="48"/>
        </w:numPr>
        <w:spacing w:before="120" w:after="120" w:line="288" w:lineRule="auto"/>
        <w:ind w:left="0"/>
        <w:jc w:val="left"/>
      </w:pPr>
      <w:r>
        <w:rPr>
          <w:rFonts w:eastAsia="等线" w:ascii="Arial" w:cs="Arial" w:hAnsi="Arial"/>
          <w:sz w:val="22"/>
        </w:rPr>
        <w:t>该值指定为节标头后面的多行表达式。</w:t>
      </w:r>
    </w:p>
    <w:p>
      <w:pPr>
        <w:spacing w:before="120" w:after="120" w:line="288" w:lineRule="auto"/>
        <w:ind w:left="0"/>
        <w:jc w:val="left"/>
      </w:pPr>
      <w:r>
        <w:rPr>
          <w:rFonts w:eastAsia="等线" w:ascii="Arial" w:cs="Arial" w:hAnsi="Arial"/>
          <w:sz w:val="22"/>
        </w:rPr>
        <w:t xml:space="preserve">在以下代码示例中，度量 </w:t>
      </w:r>
      <w:r>
        <w:rPr>
          <w:rFonts w:eastAsia="Consolas" w:ascii="Consolas" w:cs="Consolas" w:hAnsi="Consolas"/>
          <w:sz w:val="22"/>
          <w:shd w:fill="EFF0F1"/>
        </w:rPr>
        <w:t>Sales Amount</w:t>
      </w:r>
      <w:r>
        <w:rPr>
          <w:rFonts w:eastAsia="等线" w:ascii="Arial" w:cs="Arial" w:hAnsi="Arial"/>
          <w:sz w:val="22"/>
        </w:rPr>
        <w:t xml:space="preserve"> 值和分区 </w:t>
      </w:r>
      <w:r>
        <w:rPr>
          <w:rFonts w:eastAsia="Consolas" w:ascii="Consolas" w:cs="Consolas" w:hAnsi="Consolas"/>
          <w:sz w:val="22"/>
          <w:shd w:fill="EFF0F1"/>
        </w:rPr>
        <w:t>Sales-Partition1</w:t>
      </w:r>
      <w:r>
        <w:rPr>
          <w:rFonts w:eastAsia="等线" w:ascii="Arial" w:cs="Arial" w:hAnsi="Arial"/>
          <w:sz w:val="22"/>
        </w:rPr>
        <w:t xml:space="preserve"> 是单行，度量 </w:t>
      </w:r>
      <w:r>
        <w:rPr>
          <w:rFonts w:eastAsia="Consolas" w:ascii="Consolas" w:cs="Consolas" w:hAnsi="Consolas"/>
          <w:sz w:val="22"/>
          <w:shd w:fill="EFF0F1"/>
        </w:rPr>
        <w:t>Quantity</w:t>
      </w:r>
      <w:r>
        <w:rPr>
          <w:rFonts w:eastAsia="等线" w:ascii="Arial" w:cs="Arial" w:hAnsi="Arial"/>
          <w:sz w:val="22"/>
        </w:rPr>
        <w:t xml:space="preserve"> 值是多行：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Sales</w:t>
              <w:br/>
              <w:br/>
              <w:t xml:space="preserve">    measure 'Sales Amount' = SUM(...)</w:t>
              <w:br/>
              <w:t xml:space="preserve">        formatString: $ #,##0</w:t>
              <w:br/>
              <w:br/>
              <w:t xml:space="preserve">    measure Quantity = </w:t>
              <w:br/>
              <w:t xml:space="preserve">            var result = SUMX (...)</w:t>
              <w:br/>
              <w:t xml:space="preserve">            return result</w:t>
              <w:br/>
              <w:t xml:space="preserve">        formatString: #,##0</w:t>
              <w:br/>
              <w:br/>
              <w:t xml:space="preserve">    partition Sales-Partition1 = m</w:t>
              <w:br/>
              <w:t xml:space="preserve">  mode: import</w:t>
              <w:br/>
              <w:t xml:space="preserve">  source =</w:t>
              <w:br/>
              <w:t xml:space="preserve">   let</w:t>
              <w:br/>
              <w:t xml:space="preserve">       ...</w:t>
              <w:br/>
              <w:t xml:space="preserve">   in</w:t>
              <w:br/>
            </w:r>
            <w:r>
              <w:rPr>
                <w:rFonts w:eastAsia="Consolas" w:ascii="Consolas" w:cs="Consolas" w:hAnsi="Consolas"/>
                <w:sz w:val="22"/>
              </w:rPr>
              <w:t xml:space="preserve">       finalStep</w:t>
            </w:r>
          </w:p>
        </w:tc>
      </w:tr>
    </w:tbl>
    <w:p>
      <w:pPr>
        <w:pStyle w:val="3"/>
        <w:spacing w:before="300" w:after="120" w:line="288" w:lineRule="auto"/>
        <w:ind w:left="0"/>
        <w:jc w:val="left"/>
        <w:outlineLvl w:val="2"/>
      </w:pPr>
      <w:bookmarkStart w:name="heading_11" w:id="11"/>
      <w:r>
        <w:rPr>
          <w:rFonts w:eastAsia="等线" w:ascii="Arial" w:cs="Arial" w:hAnsi="Arial"/>
          <w:b w:val="true"/>
          <w:sz w:val="30"/>
        </w:rPr>
        <w:t>表达 式</w:t>
      </w:r>
      <w:bookmarkEnd w:id="11"/>
    </w:p>
    <w:p>
      <w:pPr>
        <w:spacing w:before="120" w:after="120" w:line="288" w:lineRule="auto"/>
        <w:ind w:left="0"/>
        <w:jc w:val="left"/>
      </w:pPr>
      <w:r>
        <w:rPr>
          <w:rFonts w:eastAsia="等线" w:ascii="Arial" w:cs="Arial" w:hAnsi="Arial"/>
          <w:sz w:val="22"/>
        </w:rPr>
        <w:t>在 TOM 中作为文本属性时，有一些对象属性在 TMDL 中获取特殊分析。 整个文本都是逐字读取的，因为它可以在 M 或 DAX 表达式中包含特殊字符，如引号或方括号。 表达式可以是多行或单行。 如果多行，则它们必须紧跟在属性或对象声明之后的行中。</w:t>
      </w:r>
    </w:p>
    <w:p>
      <w:pPr>
        <w:spacing w:before="120" w:after="120" w:line="288" w:lineRule="auto"/>
        <w:ind w:left="0"/>
        <w:jc w:val="left"/>
      </w:pPr>
      <w:r>
        <w:rPr>
          <w:rFonts w:eastAsia="等线" w:ascii="Arial" w:cs="Arial" w:hAnsi="Arial"/>
          <w:sz w:val="22"/>
        </w:rPr>
        <w:t xml:space="preserve">在 TMDL 中，表达式的值是通过等号（ </w:t>
      </w:r>
      <w:r>
        <w:rPr>
          <w:rFonts w:eastAsia="等线" w:ascii="Arial" w:cs="Arial" w:hAnsi="Arial"/>
          <w:b w:val="true"/>
          <w:sz w:val="22"/>
        </w:rPr>
        <w:t xml:space="preserve">= </w:t>
      </w:r>
      <w:r>
        <w:rPr>
          <w:rFonts w:eastAsia="等线" w:ascii="Arial" w:cs="Arial" w:hAnsi="Arial"/>
          <w:sz w:val="22"/>
        </w:rPr>
        <w:t>）分隔符指定的，如以下示例所示：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Table1</w:t>
              <w:br/>
              <w:br/>
              <w:t xml:space="preserve">    partition 'partition 1' = m</w:t>
              <w:br/>
              <w:t xml:space="preserve">        mode: import</w:t>
              <w:br/>
              <w:t xml:space="preserve">        source =</w:t>
              <w:br/>
              <w:t xml:space="preserve">            let</w:t>
              <w:br/>
              <w:t xml:space="preserve">            ...</w:t>
              <w:br/>
              <w:t xml:space="preserve">            in</w:t>
              <w:br/>
              <w:t xml:space="preserve">                finalStep</w:t>
              <w:br/>
              <w:t xml:space="preserve">    </w:t>
              <w:br/>
              <w:t xml:space="preserve">    measure Measure1 = SUM(...)</w:t>
              <w:br/>
              <w:br/>
              <w:t xml:space="preserve">    measure Measure2 =</w:t>
              <w:br/>
              <w:t xml:space="preserve">            var result = SUMX ( </w:t>
              <w:br/>
              <w:t xml:space="preserve">                ...</w:t>
              <w:br/>
              <w:t xml:space="preserve">            )</w:t>
              <w:br/>
              <w:t xml:space="preserve">            return result</w:t>
              <w:br/>
            </w:r>
            <w:r>
              <w:rPr>
                <w:rFonts w:eastAsia="Consolas" w:ascii="Consolas" w:cs="Consolas" w:hAnsi="Consolas"/>
                <w:sz w:val="22"/>
              </w:rPr>
              <w:t xml:space="preserve">        formatString: $ #,##0</w:t>
            </w:r>
          </w:p>
        </w:tc>
      </w:tr>
    </w:tbl>
    <w:p>
      <w:pPr>
        <w:spacing w:before="120" w:after="120" w:line="288" w:lineRule="auto"/>
        <w:ind w:left="0"/>
        <w:jc w:val="left"/>
      </w:pPr>
      <w:r>
        <w:rPr>
          <w:rFonts w:eastAsia="等线" w:ascii="Arial" w:cs="Arial" w:hAnsi="Arial"/>
          <w:sz w:val="22"/>
        </w:rPr>
        <w:t>以下特殊规则适用于表达式：</w:t>
      </w:r>
    </w:p>
    <w:p>
      <w:pPr>
        <w:numPr>
          <w:numId w:val="49"/>
        </w:numPr>
        <w:spacing w:before="120" w:after="120" w:line="288" w:lineRule="auto"/>
        <w:ind w:left="0"/>
        <w:jc w:val="left"/>
      </w:pPr>
      <w:r>
        <w:rPr>
          <w:rFonts w:eastAsia="等线" w:ascii="Arial" w:cs="Arial" w:hAnsi="Arial"/>
          <w:sz w:val="22"/>
        </w:rPr>
        <w:t>多行表达式必须更深入地缩进到父对象属性的一个级别，并且整个表达式必须位于该缩进级别内。</w:t>
      </w:r>
    </w:p>
    <w:p>
      <w:pPr>
        <w:numPr>
          <w:numId w:val="50"/>
        </w:numPr>
        <w:spacing w:before="120" w:after="120" w:line="288" w:lineRule="auto"/>
        <w:ind w:left="0"/>
        <w:jc w:val="left"/>
      </w:pPr>
      <w:r>
        <w:rPr>
          <w:rFonts w:eastAsia="等线" w:ascii="Arial" w:cs="Arial" w:hAnsi="Arial"/>
          <w:sz w:val="22"/>
        </w:rPr>
        <w:t>所有外部缩进空格被剥离到父对象的缩进级别之外。</w:t>
      </w:r>
    </w:p>
    <w:p>
      <w:pPr>
        <w:numPr>
          <w:numId w:val="51"/>
        </w:numPr>
        <w:spacing w:before="120" w:after="120" w:line="288" w:lineRule="auto"/>
        <w:ind w:left="0"/>
        <w:jc w:val="left"/>
      </w:pPr>
      <w:r>
        <w:rPr>
          <w:rFonts w:eastAsia="等线" w:ascii="Arial" w:cs="Arial" w:hAnsi="Arial"/>
          <w:sz w:val="22"/>
        </w:rPr>
        <w:t>允许垂直空格（没有空格的空白行），并被视为表达式的一部分。</w:t>
      </w:r>
    </w:p>
    <w:p>
      <w:pPr>
        <w:numPr>
          <w:numId w:val="52"/>
        </w:numPr>
        <w:spacing w:before="120" w:after="120" w:line="288" w:lineRule="auto"/>
        <w:ind w:left="0"/>
        <w:jc w:val="left"/>
      </w:pPr>
      <w:r>
        <w:rPr>
          <w:rFonts w:eastAsia="等线" w:ascii="Arial" w:cs="Arial" w:hAnsi="Arial"/>
          <w:sz w:val="22"/>
        </w:rPr>
        <w:t>删除尾随空白行和空格。</w:t>
      </w:r>
    </w:p>
    <w:p>
      <w:pPr>
        <w:numPr>
          <w:numId w:val="53"/>
        </w:numPr>
        <w:spacing w:before="120" w:after="120" w:line="288" w:lineRule="auto"/>
        <w:ind w:left="0"/>
        <w:jc w:val="left"/>
      </w:pPr>
      <w:r>
        <w:rPr>
          <w:rFonts w:eastAsia="等线" w:ascii="Arial" w:cs="Arial" w:hAnsi="Arial"/>
          <w:sz w:val="22"/>
        </w:rPr>
        <w:t xml:space="preserve">若要强制实施不同的缩进或者保留行尾空行或空格，请使用三个反引号（ </w:t>
      </w:r>
      <w:r>
        <w:rPr>
          <w:rFonts w:eastAsia="等线" w:ascii="Arial" w:cs="Arial" w:hAnsi="Arial"/>
          <w:b w:val="true"/>
          <w:sz w:val="22"/>
        </w:rPr>
        <w:t xml:space="preserve">``` </w:t>
      </w:r>
      <w:r>
        <w:rPr>
          <w:rFonts w:eastAsia="等线" w:ascii="Arial" w:cs="Arial" w:hAnsi="Arial"/>
          <w:sz w:val="22"/>
        </w:rPr>
        <w:t>）括住。</w:t>
      </w:r>
    </w:p>
    <w:p>
      <w:pPr>
        <w:numPr>
          <w:numId w:val="54"/>
        </w:numPr>
        <w:spacing w:before="120" w:after="120" w:line="288" w:lineRule="auto"/>
        <w:ind w:left="0"/>
        <w:jc w:val="left"/>
      </w:pPr>
      <w:r>
        <w:rPr>
          <w:rFonts w:eastAsia="等线" w:ascii="Arial" w:cs="Arial" w:hAnsi="Arial"/>
          <w:sz w:val="22"/>
        </w:rPr>
        <w:t>默认情况下，如果表达式值包含任何可能导致往返修改的任何内容（例如尾随空格、带空格的空白行），TMDL 序列化程序将用反引号括起来。</w:t>
      </w:r>
    </w:p>
    <w:p>
      <w:pPr>
        <w:spacing w:before="120" w:after="120" w:line="288" w:lineRule="auto"/>
        <w:ind w:left="0"/>
        <w:jc w:val="left"/>
      </w:pPr>
      <w:r>
        <w:rPr>
          <w:rFonts w:eastAsia="等线" w:ascii="Arial" w:cs="Arial" w:hAnsi="Arial"/>
          <w:sz w:val="22"/>
        </w:rPr>
        <w:t xml:space="preserve">用三个反引号（ </w:t>
      </w:r>
      <w:r>
        <w:rPr>
          <w:rFonts w:eastAsia="等线" w:ascii="Arial" w:cs="Arial" w:hAnsi="Arial"/>
          <w:b w:val="true"/>
          <w:sz w:val="22"/>
        </w:rPr>
        <w:t xml:space="preserve">``` </w:t>
      </w:r>
      <w:r>
        <w:rPr>
          <w:rFonts w:eastAsia="等线" w:ascii="Arial" w:cs="Arial" w:hAnsi="Arial"/>
          <w:sz w:val="22"/>
        </w:rPr>
        <w:t xml:space="preserve">）括起来的表达式是逐字读取的，包括缩进、空白行和空格。 分隔符应紧跟在等号（ </w:t>
      </w:r>
      <w:r>
        <w:rPr>
          <w:rFonts w:eastAsia="等线" w:ascii="Arial" w:cs="Arial" w:hAnsi="Arial"/>
          <w:b w:val="true"/>
          <w:sz w:val="22"/>
        </w:rPr>
        <w:t xml:space="preserve">= </w:t>
      </w:r>
      <w:r>
        <w:rPr>
          <w:rFonts w:eastAsia="等线" w:ascii="Arial" w:cs="Arial" w:hAnsi="Arial"/>
          <w:sz w:val="22"/>
        </w:rPr>
        <w:t>）后面，紧跟表达式后面的行，并且之后不能包含任何内容，如以下示例所示：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Table1</w:t>
              <w:br/>
              <w:br/>
              <w:t xml:space="preserve">    partition partition1 = m</w:t>
              <w:br/>
              <w:t xml:space="preserve">        mode: import</w:t>
              <w:br/>
              <w:t xml:space="preserve">        source = ```</w:t>
              <w:br/>
              <w:t xml:space="preserve">            let</w:t>
              <w:br/>
              <w:t xml:space="preserve">            ...</w:t>
              <w:br/>
              <w:t xml:space="preserve">            in</w:t>
              <w:br/>
              <w:t xml:space="preserve">                finalStep</w:t>
              <w:br/>
              <w:br/>
              <w:t xml:space="preserve">            ```</w:t>
              <w:br/>
              <w:br/>
              <w:t xml:space="preserve">    measure Measure1 = ```</w:t>
              <w:br/>
              <w:t xml:space="preserve">                var myVar = Today()</w:t>
              <w:br/>
              <w:t xml:space="preserve">                …</w:t>
              <w:br/>
              <w:t xml:space="preserve">                return result</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使用三个反引号（ </w:t>
      </w:r>
      <w:r>
        <w:rPr>
          <w:rFonts w:eastAsia="等线" w:ascii="Arial" w:cs="Arial" w:hAnsi="Arial"/>
          <w:b w:val="true"/>
          <w:sz w:val="22"/>
        </w:rPr>
        <w:t xml:space="preserve">``` </w:t>
      </w:r>
      <w:r>
        <w:rPr>
          <w:rFonts w:eastAsia="等线" w:ascii="Arial" w:cs="Arial" w:hAnsi="Arial"/>
          <w:sz w:val="22"/>
        </w:rPr>
        <w:t>）作为分隔符是可选的，并且仅在特殊情况下才是必需的。 在大多数情况下，使用正确的缩进和对象声明可确保正确分析添加到属性的任何表达式。</w:t>
      </w:r>
    </w:p>
    <w:p>
      <w:pPr>
        <w:spacing w:before="120" w:after="120" w:line="288" w:lineRule="auto"/>
        <w:ind w:left="0"/>
        <w:jc w:val="left"/>
      </w:pPr>
      <w:r>
        <w:rPr>
          <w:rFonts w:eastAsia="等线" w:ascii="Arial" w:cs="Arial" w:hAnsi="Arial"/>
          <w:sz w:val="22"/>
        </w:rPr>
        <w:t>当表达式包含在反杆内时，将应用以下规则：</w:t>
      </w:r>
    </w:p>
    <w:p>
      <w:pPr>
        <w:numPr>
          <w:numId w:val="55"/>
        </w:numPr>
        <w:spacing w:before="120" w:after="120" w:line="288" w:lineRule="auto"/>
        <w:ind w:left="0"/>
        <w:jc w:val="left"/>
      </w:pPr>
      <w:r>
        <w:rPr>
          <w:rFonts w:eastAsia="等线" w:ascii="Arial" w:cs="Arial" w:hAnsi="Arial"/>
          <w:sz w:val="22"/>
        </w:rPr>
        <w:t xml:space="preserve">三个反引号（ </w:t>
      </w:r>
      <w:r>
        <w:rPr>
          <w:rFonts w:eastAsia="等线" w:ascii="Arial" w:cs="Arial" w:hAnsi="Arial"/>
          <w:b w:val="true"/>
          <w:sz w:val="22"/>
        </w:rPr>
        <w:t xml:space="preserve">``` </w:t>
      </w:r>
      <w:r>
        <w:rPr>
          <w:rFonts w:eastAsia="等线" w:ascii="Arial" w:cs="Arial" w:hAnsi="Arial"/>
          <w:sz w:val="22"/>
        </w:rPr>
        <w:t>）之间的所有内容被视为多块表达式的一部分，因此不适用 TMDL 缩进规则。 结束分隔符确定表达式中的缩进。</w:t>
      </w:r>
    </w:p>
    <w:p>
      <w:pPr>
        <w:numPr>
          <w:numId w:val="56"/>
        </w:numPr>
        <w:spacing w:before="120" w:after="120" w:line="288" w:lineRule="auto"/>
        <w:ind w:left="0"/>
        <w:jc w:val="left"/>
      </w:pPr>
      <w:r>
        <w:rPr>
          <w:rFonts w:eastAsia="等线" w:ascii="Arial" w:cs="Arial" w:hAnsi="Arial"/>
          <w:sz w:val="22"/>
        </w:rPr>
        <w:t xml:space="preserve">将保留表达式中的相对缩进。 结束分隔符 （ </w:t>
      </w:r>
      <w:r>
        <w:rPr>
          <w:rFonts w:eastAsia="等线" w:ascii="Arial" w:cs="Arial" w:hAnsi="Arial"/>
          <w:b w:val="true"/>
          <w:sz w:val="22"/>
        </w:rPr>
        <w:t xml:space="preserve">``` </w:t>
      </w:r>
      <w:r>
        <w:rPr>
          <w:rFonts w:eastAsia="等线" w:ascii="Arial" w:cs="Arial" w:hAnsi="Arial"/>
          <w:sz w:val="22"/>
        </w:rPr>
        <w:t>） 确定表达式左边界（请参阅上一示例中的“Measure1”。</w:t>
      </w:r>
    </w:p>
    <w:p>
      <w:pPr>
        <w:spacing w:before="120" w:after="120" w:line="288" w:lineRule="auto"/>
        <w:ind w:left="0"/>
        <w:jc w:val="left"/>
      </w:pPr>
      <w:r>
        <w:rPr>
          <w:rFonts w:eastAsia="等线" w:ascii="Arial" w:cs="Arial" w:hAnsi="Arial"/>
          <w:sz w:val="22"/>
        </w:rPr>
        <w:t>以下属性被视为表达式：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表达式语言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MPartitionSource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CalculatedPartitionSource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QueryPartitionSource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NativeQuery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CalculationItem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BasicRefreshPolicy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SourceExpression、PollingExpression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KPI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StatusExpression、TargetExpression、TrendExpression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LinguisticMetadata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XML 或 Json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JsonExtendedProperty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FormatStringDefintion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DataCoverageDefinition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CalculationGroupExpression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NamedExpression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DetailRowsDefinition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TablePermission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FilterExpression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CalculatedColumn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bl>
    <w:p>
      <w:pPr>
        <w:pStyle w:val="4"/>
        <w:spacing w:before="260" w:after="120" w:line="288" w:lineRule="auto"/>
        <w:ind w:left="0"/>
        <w:jc w:val="left"/>
        <w:outlineLvl w:val="3"/>
      </w:pPr>
      <w:bookmarkStart w:name="heading_12" w:id="12"/>
      <w:r>
        <w:rPr>
          <w:rFonts w:eastAsia="等线" w:ascii="Arial" w:cs="Arial" w:hAnsi="Arial"/>
          <w:b w:val="true"/>
          <w:sz w:val="28"/>
        </w:rPr>
        <w:t>按对象类型排序的默认属性</w:t>
      </w:r>
      <w:bookmarkEnd w:id="12"/>
    </w:p>
    <w:p>
      <w:pPr>
        <w:spacing w:before="120" w:after="120" w:line="288" w:lineRule="auto"/>
        <w:ind w:left="0"/>
        <w:jc w:val="left"/>
      </w:pPr>
      <w:r>
        <w:rPr>
          <w:rFonts w:eastAsia="等线" w:ascii="Arial" w:cs="Arial" w:hAnsi="Arial"/>
          <w:sz w:val="22"/>
        </w:rPr>
        <w:t>下表按对象类型显示默认属性和表达式语言：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默认属性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表达式语言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CalculatedColumn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CalculationItem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FormatStringDefinition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DetailRowsDefinition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CalculationExpression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DataCoverageDefinition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TablePermission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FilterExpression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ColumnPermission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MetadataPermission</w:t>
            </w:r>
          </w:p>
        </w:tc>
        <w:tc>
          <w:tcPr>
            <w:tcW w:w="2760" w:type="dxa"/>
            <w:tcMar>
              <w:top w:type="dxa" w:w="60"/>
              <w:left w:type="dxa" w:w="120"/>
              <w:bottom w:type="dxa" w:w="30"/>
              <w:right w:type="dxa" w:w="120"/>
            </w:tcMar>
          </w:tcPr>
          <w:p>
            <w:pPr>
              <w:spacing w:before="120" w:after="120" w:line="288" w:lineRule="auto"/>
              <w:ind w:left="0"/>
              <w:jc w:val="left"/>
            </w:pPr>
            <w:hyperlink r:id="rId20">
              <w:r>
                <w:rPr>
                  <w:rFonts w:eastAsia="等线" w:ascii="Arial" w:cs="Arial" w:hAnsi="Arial"/>
                  <w:color w:val="3370ff"/>
                  <w:sz w:val="22"/>
                </w:rPr>
                <w:t>MetadataPermission 枚举</w:t>
              </w:r>
            </w:hyperlink>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NamedExpression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MPartitionSource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CalculatedPartitionSource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JsonExtendedProperty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注解</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StringExtendedProperty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DataSource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hyperlink r:id="rId21">
              <w:r>
                <w:rPr>
                  <w:rFonts w:eastAsia="等线" w:ascii="Arial" w:cs="Arial" w:hAnsi="Arial"/>
                  <w:color w:val="3370ff"/>
                  <w:sz w:val="22"/>
                </w:rPr>
                <w:t>DataSourceType 枚举</w:t>
              </w:r>
            </w:hyperlink>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SourceType</w:t>
            </w:r>
          </w:p>
        </w:tc>
        <w:tc>
          <w:tcPr>
            <w:tcW w:w="2760" w:type="dxa"/>
            <w:tcMar>
              <w:top w:type="dxa" w:w="60"/>
              <w:left w:type="dxa" w:w="120"/>
              <w:bottom w:type="dxa" w:w="30"/>
              <w:right w:type="dxa" w:w="120"/>
            </w:tcMar>
          </w:tcPr>
          <w:p>
            <w:pPr>
              <w:spacing w:before="120" w:after="120" w:line="288" w:lineRule="auto"/>
              <w:ind w:left="0"/>
              <w:jc w:val="left"/>
            </w:pPr>
            <w:hyperlink r:id="rId22">
              <w:r>
                <w:rPr>
                  <w:rFonts w:eastAsia="等线" w:ascii="Arial" w:cs="Arial" w:hAnsi="Arial"/>
                  <w:color w:val="3370ff"/>
                  <w:sz w:val="22"/>
                </w:rPr>
                <w:t>PartitionSourceType 枚举类型</w:t>
              </w:r>
            </w:hyperlink>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ChangedProperty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w:t>
            </w:r>
          </w:p>
        </w:tc>
        <w:tc>
          <w:tcPr>
            <w:tcW w:w="2760" w:type="dxa"/>
            <w:tcMar>
              <w:top w:type="dxa" w:w="60"/>
              <w:left w:type="dxa" w:w="120"/>
              <w:bottom w:type="dxa" w:w="30"/>
              <w:right w:type="dxa" w:w="120"/>
            </w:tcMar>
          </w:tcPr>
          <w:p>
            <w:pPr>
              <w:spacing w:before="120" w:after="120" w:line="288" w:lineRule="auto"/>
              <w:ind w:left="0"/>
              <w:jc w:val="left"/>
            </w:pPr>
            <w:hyperlink r:id="rId23">
              <w:r>
                <w:rPr>
                  <w:rFonts w:eastAsia="等线" w:ascii="Arial" w:cs="Arial" w:hAnsi="Arial"/>
                  <w:color w:val="3370ff"/>
                  <w:sz w:val="22"/>
                </w:rPr>
                <w:t>属性文本</w:t>
              </w:r>
            </w:hyperlink>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ExternalModelRoleMember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MemberType</w:t>
            </w:r>
          </w:p>
        </w:tc>
        <w:tc>
          <w:tcPr>
            <w:tcW w:w="2760" w:type="dxa"/>
            <w:tcMar>
              <w:top w:type="dxa" w:w="60"/>
              <w:left w:type="dxa" w:w="120"/>
              <w:bottom w:type="dxa" w:w="30"/>
              <w:right w:type="dxa" w:w="120"/>
            </w:tcMar>
          </w:tcPr>
          <w:p>
            <w:pPr>
              <w:spacing w:before="120" w:after="120" w:line="288" w:lineRule="auto"/>
              <w:ind w:left="0"/>
              <w:jc w:val="left"/>
            </w:pPr>
            <w:hyperlink r:id="rId24">
              <w:r>
                <w:rPr>
                  <w:rFonts w:eastAsia="等线" w:ascii="Arial" w:cs="Arial" w:hAnsi="Arial"/>
                  <w:color w:val="3370ff"/>
                  <w:sz w:val="22"/>
                </w:rPr>
                <w:t>RoleMemberType 枚举</w:t>
              </w:r>
            </w:hyperlink>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任何自定义 JSON 属性（例如 DataAccessOptions）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文档</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LinguisticMetadata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r>
    </w:tbl>
    <w:p>
      <w:pPr>
        <w:pStyle w:val="3"/>
        <w:spacing w:before="300" w:after="120" w:line="288" w:lineRule="auto"/>
        <w:ind w:left="0"/>
        <w:jc w:val="left"/>
        <w:outlineLvl w:val="2"/>
      </w:pPr>
      <w:bookmarkStart w:name="heading_13" w:id="13"/>
      <w:r>
        <w:rPr>
          <w:rFonts w:eastAsia="等线" w:ascii="Arial" w:cs="Arial" w:hAnsi="Arial"/>
          <w:b w:val="true"/>
          <w:sz w:val="30"/>
        </w:rPr>
        <w:t>描述</w:t>
      </w:r>
      <w:bookmarkEnd w:id="13"/>
    </w:p>
    <w:p>
      <w:pPr>
        <w:spacing w:before="120" w:after="120" w:line="288" w:lineRule="auto"/>
        <w:ind w:left="0"/>
        <w:jc w:val="left"/>
      </w:pPr>
      <w:r>
        <w:rPr>
          <w:rFonts w:eastAsia="等线" w:ascii="Arial" w:cs="Arial" w:hAnsi="Arial"/>
          <w:sz w:val="22"/>
        </w:rPr>
        <w:t xml:space="preserve">TMDL 为说明提供一流的支持。 出于模型文档的目的，最佳做法是为每个 TOM 对象提供说明。 TMDL 将说明视为具有显式语法支持的特殊属性。 按照许多其他语言的示例，使用三斜杠（ </w:t>
      </w:r>
      <w:r>
        <w:rPr>
          <w:rFonts w:eastAsia="等线" w:ascii="Arial" w:cs="Arial" w:hAnsi="Arial"/>
          <w:b w:val="true"/>
          <w:sz w:val="22"/>
        </w:rPr>
        <w:t xml:space="preserve">/// </w:t>
      </w:r>
      <w:r>
        <w:rPr>
          <w:rFonts w:eastAsia="等线" w:ascii="Arial" w:cs="Arial" w:hAnsi="Arial"/>
          <w:sz w:val="22"/>
        </w:rPr>
        <w:t>）语法在每个对象声明的基础上指定说明。</w:t>
      </w:r>
    </w:p>
    <w:p>
      <w:pPr>
        <w:spacing w:before="120" w:after="120" w:line="288" w:lineRule="auto"/>
        <w:ind w:left="0"/>
        <w:jc w:val="left"/>
      </w:pPr>
      <w:r>
        <w:rPr>
          <w:rFonts w:eastAsia="等线" w:ascii="Arial" w:cs="Arial" w:hAnsi="Arial"/>
          <w:sz w:val="22"/>
        </w:rPr>
        <w:t>说明块末尾和对象类型标记之间不允许有空格。</w:t>
      </w:r>
    </w:p>
    <w:p>
      <w:pPr>
        <w:spacing w:before="120" w:after="120" w:line="288" w:lineRule="auto"/>
        <w:ind w:left="0"/>
        <w:jc w:val="left"/>
      </w:pPr>
      <w:r>
        <w:rPr>
          <w:rFonts w:eastAsia="等线" w:ascii="Arial" w:cs="Arial" w:hAnsi="Arial"/>
          <w:sz w:val="22"/>
        </w:rPr>
        <w:t>可以跨多行拆分说明。 TMDL 序列化程序将对象描述分解为多行，以将发出的文档行保持在最大长度之下。 默认的最大长度为 80 个字符。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Table Description</w:t>
              <w:br/>
              <w:t>table Sales</w:t>
              <w:br/>
              <w:br/>
              <w:t xml:space="preserve">    /// This is the Measure Description</w:t>
              <w:br/>
              <w:t xml:space="preserve">    /// One more line</w:t>
              <w:br/>
              <w:t xml:space="preserve">    measure 'Sales Amount'' = SUM(...)</w:t>
              <w:br/>
            </w:r>
            <w:r>
              <w:rPr>
                <w:rFonts w:eastAsia="Consolas" w:ascii="Consolas" w:cs="Consolas" w:hAnsi="Consolas"/>
                <w:sz w:val="22"/>
              </w:rPr>
              <w:t xml:space="preserve">        formatString: #,##0</w:t>
            </w:r>
          </w:p>
        </w:tc>
      </w:tr>
    </w:tbl>
    <w:p>
      <w:pPr>
        <w:pStyle w:val="3"/>
        <w:spacing w:before="300" w:after="120" w:line="288" w:lineRule="auto"/>
        <w:ind w:left="0"/>
        <w:jc w:val="left"/>
        <w:outlineLvl w:val="2"/>
      </w:pPr>
      <w:bookmarkStart w:name="heading_14" w:id="14"/>
      <w:r>
        <w:rPr>
          <w:rFonts w:eastAsia="等线" w:ascii="Arial" w:cs="Arial" w:hAnsi="Arial"/>
          <w:b w:val="true"/>
          <w:sz w:val="30"/>
        </w:rPr>
        <w:t>分部声明</w:t>
      </w:r>
      <w:bookmarkEnd w:id="14"/>
    </w:p>
    <w:p>
      <w:pPr>
        <w:spacing w:before="120" w:after="120" w:line="288" w:lineRule="auto"/>
        <w:ind w:left="0"/>
        <w:jc w:val="left"/>
      </w:pPr>
      <w:r>
        <w:rPr>
          <w:rFonts w:eastAsia="等线" w:ascii="Arial" w:cs="Arial" w:hAnsi="Arial"/>
          <w:sz w:val="22"/>
        </w:rPr>
        <w:t xml:space="preserve">TMDL 不会强制同一文档中的对象声明。 但是，它类似于 </w:t>
      </w:r>
      <w:hyperlink r:id="rId25">
        <w:r>
          <w:rPr>
            <w:rFonts w:eastAsia="等线" w:ascii="Arial" w:cs="Arial" w:hAnsi="Arial"/>
            <w:color w:val="3370ff"/>
            <w:sz w:val="22"/>
          </w:rPr>
          <w:t xml:space="preserve">C# 分部类 </w:t>
        </w:r>
      </w:hyperlink>
      <w:r>
        <w:rPr>
          <w:rFonts w:eastAsia="等线" w:ascii="Arial" w:cs="Arial" w:hAnsi="Arial"/>
          <w:sz w:val="22"/>
        </w:rPr>
        <w:t>，可以在多个文件之间拆分对象定义。 例如，可以在 [table].tmdl 文件中声明表定义，然后让单个 [measures].tmdl 文件中定义的所有表的所有度量值，如下所示：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Sales</w:t>
              <w:br/>
              <w:br/>
              <w:t xml:space="preserve">    measure 'Sales Amount' = SUM(…)</w:t>
              <w:br/>
              <w:t xml:space="preserve">        formatString: $ #,##0</w:t>
              <w:br/>
              <w:br/>
              <w:t>table Product</w:t>
              <w:br/>
              <w:br/>
            </w:r>
            <w:r>
              <w:rPr>
                <w:rFonts w:eastAsia="Consolas" w:ascii="Consolas" w:cs="Consolas" w:hAnsi="Consolas"/>
                <w:sz w:val="22"/>
              </w:rPr>
              <w:t xml:space="preserve">    measure CountOfProduct = COUNTROWS(…)</w:t>
            </w:r>
          </w:p>
        </w:tc>
      </w:tr>
    </w:tbl>
    <w:p>
      <w:pPr>
        <w:spacing w:before="120" w:after="120" w:line="288" w:lineRule="auto"/>
        <w:ind w:left="0"/>
        <w:jc w:val="left"/>
      </w:pPr>
      <w:r>
        <w:rPr>
          <w:rFonts w:eastAsia="等线" w:ascii="Arial" w:cs="Arial" w:hAnsi="Arial"/>
          <w:sz w:val="22"/>
        </w:rPr>
        <w:t>为了避免分析错误，无法声明同一属性两次。 例如，在两个不同的 TMDL 文档中为同一表声明具有相同名称的两个度量值会导致错误。</w:t>
      </w:r>
    </w:p>
    <w:p>
      <w:pPr>
        <w:pStyle w:val="3"/>
        <w:spacing w:before="300" w:after="120" w:line="288" w:lineRule="auto"/>
        <w:ind w:left="0"/>
        <w:jc w:val="left"/>
        <w:outlineLvl w:val="2"/>
      </w:pPr>
      <w:bookmarkStart w:name="heading_15" w:id="15"/>
      <w:r>
        <w:rPr>
          <w:rFonts w:eastAsia="等线" w:ascii="Arial" w:cs="Arial" w:hAnsi="Arial"/>
          <w:b w:val="true"/>
          <w:sz w:val="30"/>
        </w:rPr>
        <w:t>对象引用</w:t>
      </w:r>
      <w:bookmarkEnd w:id="15"/>
    </w:p>
    <w:p>
      <w:pPr>
        <w:spacing w:before="120" w:after="120" w:line="288" w:lineRule="auto"/>
        <w:ind w:left="0"/>
        <w:jc w:val="left"/>
      </w:pPr>
      <w:r>
        <w:rPr>
          <w:rFonts w:eastAsia="等线" w:ascii="Arial" w:cs="Arial" w:hAnsi="Arial"/>
          <w:sz w:val="22"/>
        </w:rPr>
        <w:t xml:space="preserve">可以使用 </w:t>
      </w:r>
      <w:r>
        <w:rPr>
          <w:rFonts w:eastAsia="等线" w:ascii="Arial" w:cs="Arial" w:hAnsi="Arial"/>
          <w:b w:val="true"/>
          <w:sz w:val="22"/>
        </w:rPr>
        <w:t xml:space="preserve">ref </w:t>
      </w:r>
      <w:r>
        <w:rPr>
          <w:rFonts w:eastAsia="等线" w:ascii="Arial" w:cs="Arial" w:hAnsi="Arial"/>
          <w:sz w:val="22"/>
        </w:rPr>
        <w:t>关键字引用另一个 TMDL 对象，后跟对象类型和名称。</w:t>
      </w:r>
    </w:p>
    <w:p>
      <w:pPr>
        <w:spacing w:before="120" w:after="120" w:line="288" w:lineRule="auto"/>
        <w:ind w:left="0"/>
        <w:jc w:val="left"/>
      </w:pPr>
      <w:r>
        <w:rPr>
          <w:rFonts w:eastAsia="等线" w:ascii="Arial" w:cs="Arial" w:hAnsi="Arial"/>
          <w:sz w:val="22"/>
        </w:rPr>
        <w:t>例如，如果使用字符串序列化 API 序列化 Column 对象，结果将为：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ref table Table1</w:t>
              <w:br/>
              <w:t xml:space="preserve">        column Column1</w:t>
              <w:br/>
              <w:t xml:space="preserve">                datatype: int64</w:t>
              <w:br/>
            </w:r>
            <w:r>
              <w:rPr>
                <w:rFonts w:eastAsia="Consolas" w:ascii="Consolas" w:cs="Consolas" w:hAnsi="Consolas"/>
                <w:sz w:val="22"/>
              </w:rPr>
              <w:t xml:space="preserve">                sourceColumn: Column1</w:t>
            </w:r>
          </w:p>
        </w:tc>
      </w:tr>
    </w:tbl>
    <w:p>
      <w:pPr>
        <w:pStyle w:val="4"/>
        <w:spacing w:before="260" w:after="120" w:line="288" w:lineRule="auto"/>
        <w:ind w:left="0"/>
        <w:jc w:val="left"/>
        <w:outlineLvl w:val="3"/>
      </w:pPr>
      <w:bookmarkStart w:name="heading_16" w:id="16"/>
      <w:r>
        <w:rPr>
          <w:rFonts w:eastAsia="等线" w:ascii="Arial" w:cs="Arial" w:hAnsi="Arial"/>
          <w:b w:val="true"/>
          <w:sz w:val="28"/>
        </w:rPr>
        <w:t>确定性集合排序</w:t>
      </w:r>
      <w:bookmarkEnd w:id="16"/>
    </w:p>
    <w:p>
      <w:pPr>
        <w:spacing w:before="120" w:after="120" w:line="288" w:lineRule="auto"/>
        <w:ind w:left="0"/>
        <w:jc w:val="left"/>
      </w:pPr>
      <w:r>
        <w:rPr>
          <w:rFonts w:eastAsia="等线" w:ascii="Arial" w:cs="Arial" w:hAnsi="Arial"/>
          <w:b w:val="true"/>
          <w:sz w:val="22"/>
        </w:rPr>
        <w:t xml:space="preserve">ref </w:t>
      </w:r>
      <w:r>
        <w:rPr>
          <w:rFonts w:eastAsia="等线" w:ascii="Arial" w:cs="Arial" w:hAnsi="Arial"/>
          <w:sz w:val="22"/>
        </w:rPr>
        <w:t xml:space="preserve">关键字还用于定义和保留 TOM &lt;&gt; TMDL 往返的集合顺序。 在 TMDL 对象上避免源代码管理差异尤其重要，这些对象可序列化为单个文件：表、角色、区域性和透视。 </w:t>
      </w:r>
      <w:r>
        <w:rPr>
          <w:rFonts w:eastAsia="等线" w:ascii="Arial" w:cs="Arial" w:hAnsi="Arial"/>
          <w:b w:val="true"/>
          <w:sz w:val="22"/>
        </w:rPr>
        <w:t xml:space="preserve">ref </w:t>
      </w:r>
      <w:r>
        <w:rPr>
          <w:rFonts w:eastAsia="等线" w:ascii="Arial" w:cs="Arial" w:hAnsi="Arial"/>
          <w:sz w:val="22"/>
        </w:rPr>
        <w:t>关键字用于父对象 TMDL 文件，以声明 TOM 中的项排序：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br/>
              <w:t>model Model</w:t>
              <w:br/>
              <w:br/>
              <w:t>ref table Calendar</w:t>
              <w:br/>
              <w:t>ref table Sales</w:t>
              <w:br/>
              <w:t>ref table Product</w:t>
              <w:br/>
              <w:t>ref table Customer</w:t>
              <w:br/>
              <w:t>ref table About</w:t>
              <w:br/>
              <w:br/>
              <w:t>ref culture en-US</w:t>
              <w:br/>
              <w:t>ref culture pt-PT</w:t>
              <w:br/>
              <w:br/>
              <w:t>ref role 'Stores Cluster 1'</w:t>
              <w:br/>
            </w:r>
            <w:r>
              <w:rPr>
                <w:rFonts w:eastAsia="Consolas" w:ascii="Consolas" w:cs="Consolas" w:hAnsi="Consolas"/>
                <w:sz w:val="22"/>
              </w:rPr>
              <w:t>ref role 'Stores Cluster 2'</w:t>
            </w:r>
          </w:p>
        </w:tc>
      </w:tr>
    </w:tbl>
    <w:p>
      <w:pPr>
        <w:spacing w:before="120" w:after="120" w:line="288" w:lineRule="auto"/>
        <w:ind w:left="0"/>
        <w:jc w:val="left"/>
      </w:pPr>
      <w:r>
        <w:rPr>
          <w:rFonts w:eastAsia="等线" w:ascii="Arial" w:cs="Arial" w:hAnsi="Arial"/>
          <w:sz w:val="22"/>
        </w:rPr>
        <w:t>应用以下规则：</w:t>
      </w:r>
    </w:p>
    <w:p>
      <w:pPr>
        <w:numPr>
          <w:numId w:val="57"/>
        </w:numPr>
        <w:spacing w:before="120" w:after="120" w:line="288" w:lineRule="auto"/>
        <w:ind w:left="0"/>
        <w:jc w:val="left"/>
      </w:pPr>
      <w:r>
        <w:rPr>
          <w:rFonts w:eastAsia="等线" w:ascii="Arial" w:cs="Arial" w:hAnsi="Arial"/>
          <w:sz w:val="22"/>
        </w:rPr>
        <w:t>在 TMDL 反序列化期间：</w:t>
      </w:r>
    </w:p>
    <w:p>
      <w:pPr>
        <w:numPr>
          <w:numId w:val="58"/>
        </w:numPr>
        <w:spacing w:before="120" w:after="120" w:line="288" w:lineRule="auto"/>
        <w:ind w:left="453"/>
        <w:jc w:val="left"/>
      </w:pPr>
      <w:r>
        <w:rPr>
          <w:rFonts w:eastAsia="等线" w:ascii="Arial" w:cs="Arial" w:hAnsi="Arial"/>
          <w:sz w:val="22"/>
        </w:rPr>
        <w:t>在 TMDL 中引用但缺少 TMDL 文件的对象将被忽略。</w:t>
      </w:r>
    </w:p>
    <w:p>
      <w:pPr>
        <w:numPr>
          <w:numId w:val="59"/>
        </w:numPr>
        <w:spacing w:before="120" w:after="120" w:line="288" w:lineRule="auto"/>
        <w:ind w:left="453"/>
        <w:jc w:val="left"/>
      </w:pPr>
      <w:r>
        <w:rPr>
          <w:rFonts w:eastAsia="等线" w:ascii="Arial" w:cs="Arial" w:hAnsi="Arial"/>
          <w:sz w:val="22"/>
        </w:rPr>
        <w:t>未引用但具有现有 TMDL 文件的对象将追加到集合的末尾。</w:t>
      </w:r>
    </w:p>
    <w:p>
      <w:pPr>
        <w:numPr>
          <w:numId w:val="60"/>
        </w:numPr>
        <w:spacing w:before="120" w:after="120" w:line="288" w:lineRule="auto"/>
        <w:ind w:left="0"/>
        <w:jc w:val="left"/>
      </w:pPr>
      <w:r>
        <w:rPr>
          <w:rFonts w:eastAsia="等线" w:ascii="Arial" w:cs="Arial" w:hAnsi="Arial"/>
          <w:sz w:val="22"/>
        </w:rPr>
        <w:t>在 TMDL 序列化期间：</w:t>
      </w:r>
    </w:p>
    <w:p>
      <w:pPr>
        <w:numPr>
          <w:numId w:val="61"/>
        </w:numPr>
        <w:spacing w:before="120" w:after="120" w:line="288" w:lineRule="auto"/>
        <w:ind w:left="453"/>
        <w:jc w:val="left"/>
      </w:pPr>
      <w:r>
        <w:rPr>
          <w:rFonts w:eastAsia="等线" w:ascii="Arial" w:cs="Arial" w:hAnsi="Arial"/>
          <w:sz w:val="22"/>
        </w:rPr>
        <w:t xml:space="preserve">TOM 中的所有集合对象都使用 </w:t>
      </w:r>
      <w:r>
        <w:rPr>
          <w:rFonts w:eastAsia="等线" w:ascii="Arial" w:cs="Arial" w:hAnsi="Arial"/>
          <w:b w:val="true"/>
          <w:sz w:val="22"/>
        </w:rPr>
        <w:t xml:space="preserve">ref </w:t>
      </w:r>
      <w:r>
        <w:rPr>
          <w:rFonts w:eastAsia="等线" w:ascii="Arial" w:cs="Arial" w:hAnsi="Arial"/>
          <w:sz w:val="22"/>
        </w:rPr>
        <w:t>关键字进行引用。</w:t>
      </w:r>
    </w:p>
    <w:p>
      <w:pPr>
        <w:numPr>
          <w:numId w:val="62"/>
        </w:numPr>
        <w:spacing w:before="120" w:after="120" w:line="288" w:lineRule="auto"/>
        <w:ind w:left="453"/>
        <w:jc w:val="left"/>
      </w:pPr>
      <w:r>
        <w:rPr>
          <w:rFonts w:eastAsia="等线" w:ascii="Arial" w:cs="Arial" w:hAnsi="Arial"/>
          <w:sz w:val="22"/>
        </w:rPr>
        <w:t>只有一个项目的集合不会发出 ref。</w:t>
      </w:r>
    </w:p>
    <w:p>
      <w:pPr>
        <w:numPr>
          <w:numId w:val="63"/>
        </w:numPr>
        <w:spacing w:before="120" w:after="120" w:line="288" w:lineRule="auto"/>
        <w:ind w:left="453"/>
        <w:jc w:val="left"/>
      </w:pPr>
      <w:r>
        <w:rPr>
          <w:rFonts w:eastAsia="等线" w:ascii="Arial" w:cs="Arial" w:hAnsi="Arial"/>
          <w:sz w:val="22"/>
        </w:rPr>
        <w:t>如果对象类型相同，则不在同一对象类型之间发出空行。</w:t>
      </w:r>
    </w:p>
    <w:p>
      <w:pPr>
        <w:pStyle w:val="3"/>
        <w:spacing w:before="300" w:after="120" w:line="288" w:lineRule="auto"/>
        <w:ind w:left="0"/>
        <w:jc w:val="left"/>
        <w:outlineLvl w:val="2"/>
      </w:pPr>
      <w:bookmarkStart w:name="heading_17" w:id="17"/>
      <w:r>
        <w:rPr>
          <w:rFonts w:eastAsia="等线" w:ascii="Arial" w:cs="Arial" w:hAnsi="Arial"/>
          <w:b w:val="true"/>
          <w:sz w:val="30"/>
        </w:rPr>
        <w:t>属性值分隔符</w:t>
      </w:r>
      <w:bookmarkEnd w:id="17"/>
    </w:p>
    <w:p>
      <w:pPr>
        <w:spacing w:before="120" w:after="120" w:line="288" w:lineRule="auto"/>
        <w:ind w:left="0"/>
        <w:jc w:val="left"/>
      </w:pPr>
      <w:r>
        <w:rPr>
          <w:rFonts w:eastAsia="等线" w:ascii="Arial" w:cs="Arial" w:hAnsi="Arial"/>
          <w:sz w:val="22"/>
        </w:rPr>
        <w:t>只有两个分隔符/符号可用于分配属性值：</w:t>
      </w:r>
    </w:p>
    <w:p>
      <w:pPr>
        <w:numPr>
          <w:numId w:val="64"/>
        </w:numPr>
        <w:spacing w:before="120" w:after="120" w:line="288" w:lineRule="auto"/>
        <w:ind w:left="0"/>
        <w:jc w:val="left"/>
      </w:pPr>
      <w:r>
        <w:rPr>
          <w:rFonts w:eastAsia="等线" w:ascii="Arial" w:cs="Arial" w:hAnsi="Arial"/>
          <w:sz w:val="22"/>
        </w:rPr>
        <w:t xml:space="preserve">等于 （ </w:t>
      </w:r>
      <w:r>
        <w:rPr>
          <w:rFonts w:eastAsia="等线" w:ascii="Arial" w:cs="Arial" w:hAnsi="Arial"/>
          <w:b w:val="true"/>
          <w:sz w:val="22"/>
        </w:rPr>
        <w:t xml:space="preserve">= </w:t>
      </w:r>
      <w:r>
        <w:rPr>
          <w:rFonts w:eastAsia="等线" w:ascii="Arial" w:cs="Arial" w:hAnsi="Arial"/>
          <w:sz w:val="22"/>
        </w:rPr>
        <w:t>）</w:t>
      </w:r>
    </w:p>
    <w:p>
      <w:pPr>
        <w:numPr>
          <w:numId w:val="65"/>
        </w:numPr>
        <w:spacing w:before="120" w:after="120" w:line="288" w:lineRule="auto"/>
        <w:ind w:left="453"/>
        <w:jc w:val="left"/>
      </w:pPr>
      <w:r>
        <w:rPr>
          <w:rFonts w:eastAsia="等线" w:ascii="Arial" w:cs="Arial" w:hAnsi="Arial"/>
          <w:sz w:val="22"/>
        </w:rPr>
        <w:t>用于对象声明和 默认属性 （多行和单行）</w:t>
      </w:r>
    </w:p>
    <w:p>
      <w:pPr>
        <w:numPr>
          <w:numId w:val="66"/>
        </w:numPr>
        <w:spacing w:before="120" w:after="120" w:line="288" w:lineRule="auto"/>
        <w:ind w:left="453"/>
        <w:jc w:val="left"/>
      </w:pPr>
      <w:r>
        <w:rPr>
          <w:rFonts w:eastAsia="等线" w:ascii="Arial" w:cs="Arial" w:hAnsi="Arial"/>
          <w:sz w:val="22"/>
        </w:rPr>
        <w:t>在每个 表达式属性 （例如 partition.expression）上使用</w:t>
      </w:r>
    </w:p>
    <w:p>
      <w:pPr>
        <w:numPr>
          <w:numId w:val="67"/>
        </w:numPr>
        <w:spacing w:before="120" w:after="120" w:line="288" w:lineRule="auto"/>
        <w:ind w:left="0"/>
        <w:jc w:val="left"/>
      </w:pPr>
      <w:r>
        <w:rPr>
          <w:rFonts w:eastAsia="等线" w:ascii="Arial" w:cs="Arial" w:hAnsi="Arial"/>
          <w:sz w:val="22"/>
        </w:rPr>
        <w:t xml:space="preserve">冒号 （ </w:t>
      </w:r>
      <w:r>
        <w:rPr>
          <w:rFonts w:eastAsia="等线" w:ascii="Arial" w:cs="Arial" w:hAnsi="Arial"/>
          <w:b w:val="true"/>
          <w:sz w:val="22"/>
        </w:rPr>
        <w:t xml:space="preserve">： </w:t>
      </w:r>
      <w:r>
        <w:rPr>
          <w:rFonts w:eastAsia="等线" w:ascii="Arial" w:cs="Arial" w:hAnsi="Arial"/>
          <w:sz w:val="22"/>
        </w:rPr>
        <w:t>）</w:t>
      </w:r>
    </w:p>
    <w:p>
      <w:pPr>
        <w:numPr>
          <w:numId w:val="68"/>
        </w:numPr>
        <w:spacing w:before="120" w:after="120" w:line="288" w:lineRule="auto"/>
        <w:ind w:left="453"/>
        <w:jc w:val="left"/>
      </w:pPr>
      <w:r>
        <w:rPr>
          <w:rFonts w:eastAsia="等线" w:ascii="Arial" w:cs="Arial" w:hAnsi="Arial"/>
          <w:sz w:val="22"/>
        </w:rPr>
        <w:t>用于每个非表达式 属性值 。 包括保存模型引用的属性。</w:t>
      </w:r>
    </w:p>
    <w:p>
      <w:pPr>
        <w:pStyle w:val="3"/>
        <w:spacing w:before="300" w:after="120" w:line="288" w:lineRule="auto"/>
        <w:ind w:left="0"/>
        <w:jc w:val="left"/>
        <w:outlineLvl w:val="2"/>
      </w:pPr>
      <w:bookmarkStart w:name="heading_18" w:id="18"/>
      <w:r>
        <w:rPr>
          <w:rFonts w:eastAsia="等线" w:ascii="Arial" w:cs="Arial" w:hAnsi="Arial"/>
          <w:b w:val="true"/>
          <w:sz w:val="30"/>
        </w:rPr>
        <w:t>凹痕</w:t>
      </w:r>
      <w:bookmarkEnd w:id="18"/>
    </w:p>
    <w:p>
      <w:pPr>
        <w:spacing w:before="120" w:after="120" w:line="288" w:lineRule="auto"/>
        <w:ind w:left="0"/>
        <w:jc w:val="left"/>
      </w:pPr>
      <w:r>
        <w:rPr>
          <w:rFonts w:eastAsia="等线" w:ascii="Arial" w:cs="Arial" w:hAnsi="Arial"/>
          <w:sz w:val="22"/>
        </w:rPr>
        <w:t xml:space="preserve">TMDL 使用严格的空格缩进规则来表示 TOM 层次结构的结构。 TMDL 文档使用默认单 </w:t>
      </w:r>
      <w:r>
        <w:rPr>
          <w:rFonts w:eastAsia="等线" w:ascii="Arial" w:cs="Arial" w:hAnsi="Arial"/>
          <w:b w:val="true"/>
          <w:sz w:val="22"/>
        </w:rPr>
        <w:t xml:space="preserve">制表符 </w:t>
      </w:r>
      <w:r>
        <w:rPr>
          <w:rFonts w:eastAsia="等线" w:ascii="Arial" w:cs="Arial" w:hAnsi="Arial"/>
          <w:sz w:val="22"/>
        </w:rPr>
        <w:t>缩进规则。</w:t>
      </w:r>
    </w:p>
    <w:p>
      <w:pPr>
        <w:spacing w:before="120" w:after="120" w:line="288" w:lineRule="auto"/>
        <w:ind w:left="0"/>
        <w:jc w:val="left"/>
      </w:pPr>
      <w:r>
        <w:rPr>
          <w:rFonts w:eastAsia="等线" w:ascii="Arial" w:cs="Arial" w:hAnsi="Arial"/>
          <w:sz w:val="22"/>
        </w:rPr>
        <w:t>每个对象可以有三个级别的缩进：</w:t>
      </w:r>
    </w:p>
    <w:p>
      <w:pPr>
        <w:numPr>
          <w:numId w:val="69"/>
        </w:numPr>
        <w:spacing w:before="120" w:after="120" w:line="288" w:lineRule="auto"/>
        <w:ind w:left="0"/>
        <w:jc w:val="left"/>
      </w:pPr>
      <w:r>
        <w:rPr>
          <w:rFonts w:eastAsia="等线" w:ascii="Arial" w:cs="Arial" w:hAnsi="Arial"/>
          <w:sz w:val="22"/>
        </w:rPr>
        <w:t>级别 1 - 对象声明</w:t>
      </w:r>
    </w:p>
    <w:p>
      <w:pPr>
        <w:numPr>
          <w:numId w:val="70"/>
        </w:numPr>
        <w:spacing w:before="120" w:after="120" w:line="288" w:lineRule="auto"/>
        <w:ind w:left="453"/>
        <w:jc w:val="left"/>
      </w:pPr>
      <w:r>
        <w:rPr>
          <w:rFonts w:eastAsia="等线" w:ascii="Arial" w:cs="Arial" w:hAnsi="Arial"/>
          <w:sz w:val="22"/>
        </w:rPr>
        <w:t>级别 2 - 对象属性</w:t>
      </w:r>
    </w:p>
    <w:p>
      <w:pPr>
        <w:numPr>
          <w:numId w:val="71"/>
        </w:numPr>
        <w:spacing w:before="120" w:after="120" w:line="288" w:lineRule="auto"/>
        <w:ind w:left="907"/>
        <w:jc w:val="left"/>
      </w:pPr>
      <w:r>
        <w:rPr>
          <w:rFonts w:eastAsia="等线" w:ascii="Arial" w:cs="Arial" w:hAnsi="Arial"/>
          <w:sz w:val="22"/>
        </w:rPr>
        <w:t>级别 3 - 对象属性多行表达式</w:t>
      </w:r>
    </w:p>
    <w:p>
      <w:pPr>
        <w:spacing w:before="120" w:after="120" w:line="288" w:lineRule="auto"/>
        <w:ind w:left="0"/>
        <w:jc w:val="left"/>
      </w:pPr>
      <w:r>
        <w:rPr>
          <w:rFonts w:eastAsia="等线" w:ascii="Arial" w:cs="Arial" w:hAnsi="Arial"/>
          <w:sz w:val="22"/>
        </w:rPr>
        <w:t>在 TMDL 文档中，在以下情况下应用缩进：</w:t>
      </w:r>
    </w:p>
    <w:p>
      <w:pPr>
        <w:numPr>
          <w:numId w:val="72"/>
        </w:numPr>
        <w:spacing w:before="120" w:after="120" w:line="288" w:lineRule="auto"/>
        <w:ind w:left="0"/>
        <w:jc w:val="left"/>
      </w:pPr>
      <w:r>
        <w:rPr>
          <w:rFonts w:eastAsia="等线" w:ascii="Arial" w:cs="Arial" w:hAnsi="Arial"/>
          <w:sz w:val="22"/>
        </w:rPr>
        <w:t>在对象部分标头和对象的属性（表 -&gt; 属性）之间。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Sales</w:t>
              <w:br/>
              <w:t xml:space="preserve">    isHidden</w:t>
              <w:br/>
            </w:r>
            <w:r>
              <w:rPr>
                <w:rFonts w:eastAsia="Consolas" w:ascii="Consolas" w:cs="Consolas" w:hAnsi="Consolas"/>
                <w:sz w:val="22"/>
              </w:rPr>
              <w:t xml:space="preserve">    lineageTag: 9a48bea0-e5fb-40fa-9e81-f61288e31a02</w:t>
            </w:r>
          </w:p>
        </w:tc>
      </w:tr>
    </w:tbl>
    <w:p>
      <w:pPr>
        <w:numPr>
          <w:numId w:val="73"/>
        </w:numPr>
        <w:spacing w:before="120" w:after="120" w:line="288" w:lineRule="auto"/>
        <w:ind w:left="0"/>
        <w:jc w:val="left"/>
      </w:pPr>
      <w:r>
        <w:rPr>
          <w:rFonts w:eastAsia="等线" w:ascii="Arial" w:cs="Arial" w:hAnsi="Arial"/>
          <w:sz w:val="22"/>
        </w:rPr>
        <w:t>对象及其子对象（表 -&gt; 度量值）之间。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Sales</w:t>
              <w:br/>
              <w:br/>
              <w:t xml:space="preserve">    measure 'Sales Amount' = SUMX(...)</w:t>
              <w:br/>
              <w:br/>
            </w:r>
            <w:r>
              <w:rPr>
                <w:rFonts w:eastAsia="Consolas" w:ascii="Consolas" w:cs="Consolas" w:hAnsi="Consolas"/>
                <w:sz w:val="22"/>
              </w:rPr>
              <w:t xml:space="preserve">    measure 'Total Quantity' = SUM(...)</w:t>
            </w:r>
          </w:p>
        </w:tc>
      </w:tr>
    </w:tbl>
    <w:p>
      <w:pPr>
        <w:numPr>
          <w:numId w:val="74"/>
        </w:numPr>
        <w:spacing w:before="120" w:after="120" w:line="288" w:lineRule="auto"/>
        <w:ind w:left="0"/>
        <w:jc w:val="left"/>
      </w:pPr>
      <w:r>
        <w:rPr>
          <w:rFonts w:eastAsia="等线" w:ascii="Arial" w:cs="Arial" w:hAnsi="Arial"/>
          <w:sz w:val="22"/>
        </w:rPr>
        <w:t>对象与其多行表达式（表 -&gt; 度量值 -&gt; 表达式）之间。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table Sales</w:t>
              <w:br/>
              <w:br/>
              <w:t xml:space="preserve">    measure 'Sales Amount' = </w:t>
              <w:br/>
              <w:t xml:space="preserve">            var result = SUMX(...)</w:t>
              <w:br/>
              <w:t xml:space="preserve">            return result</w:t>
              <w:br/>
            </w:r>
            <w:r>
              <w:rPr>
                <w:rFonts w:eastAsia="Consolas" w:ascii="Consolas" w:cs="Consolas" w:hAnsi="Consolas"/>
                <w:sz w:val="22"/>
              </w:rPr>
              <w:t xml:space="preserve">        formatString: $ #,##0</w:t>
            </w:r>
          </w:p>
        </w:tc>
      </w:tr>
    </w:tbl>
    <w:p>
      <w:pPr>
        <w:numPr>
          <w:numId w:val="75"/>
        </w:numPr>
        <w:spacing w:before="120" w:after="120" w:line="288" w:lineRule="auto"/>
        <w:ind w:left="0"/>
        <w:jc w:val="left"/>
      </w:pPr>
      <w:r>
        <w:rPr>
          <w:rFonts w:eastAsia="等线" w:ascii="Arial" w:cs="Arial" w:hAnsi="Arial"/>
          <w:sz w:val="22"/>
        </w:rPr>
        <w:t>多行表达式必须缩进一个比对象属性更深的级别，并且整个表达式必须位于该缩进级别（请参阅 表达式 ）。</w:t>
      </w:r>
    </w:p>
    <w:p>
      <w:pPr>
        <w:spacing w:before="120" w:after="120" w:line="288" w:lineRule="auto"/>
        <w:ind w:left="0"/>
        <w:jc w:val="left"/>
      </w:pPr>
      <w:r>
        <w:rPr>
          <w:rFonts w:eastAsia="等线" w:ascii="Arial" w:cs="Arial" w:hAnsi="Arial"/>
          <w:sz w:val="22"/>
        </w:rPr>
        <w:t>模型的数据库和直接子对象不需要缩进，因为它们是隐式假定嵌套在根模型或数据库下：</w:t>
      </w:r>
    </w:p>
    <w:p>
      <w:pPr>
        <w:numPr>
          <w:numId w:val="76"/>
        </w:numPr>
        <w:spacing w:before="120" w:after="120" w:line="288" w:lineRule="auto"/>
        <w:ind w:left="0"/>
        <w:jc w:val="left"/>
      </w:pPr>
      <w:r>
        <w:rPr>
          <w:rFonts w:eastAsia="等线" w:ascii="Arial" w:cs="Arial" w:hAnsi="Arial"/>
          <w:sz w:val="22"/>
        </w:rPr>
        <w:t>模型</w:t>
      </w:r>
    </w:p>
    <w:p>
      <w:pPr>
        <w:numPr>
          <w:numId w:val="77"/>
        </w:numPr>
        <w:spacing w:before="120" w:after="120" w:line="288" w:lineRule="auto"/>
        <w:ind w:left="0"/>
        <w:jc w:val="left"/>
      </w:pPr>
      <w:r>
        <w:rPr>
          <w:rFonts w:eastAsia="等线" w:ascii="Arial" w:cs="Arial" w:hAnsi="Arial"/>
          <w:sz w:val="22"/>
        </w:rPr>
        <w:t>表</w:t>
      </w:r>
    </w:p>
    <w:p>
      <w:pPr>
        <w:numPr>
          <w:numId w:val="78"/>
        </w:numPr>
        <w:spacing w:before="120" w:after="120" w:line="288" w:lineRule="auto"/>
        <w:ind w:left="0"/>
        <w:jc w:val="left"/>
      </w:pPr>
      <w:r>
        <w:rPr>
          <w:rFonts w:eastAsia="等线" w:ascii="Arial" w:cs="Arial" w:hAnsi="Arial"/>
          <w:sz w:val="22"/>
        </w:rPr>
        <w:t>共享表达式</w:t>
      </w:r>
    </w:p>
    <w:p>
      <w:pPr>
        <w:numPr>
          <w:numId w:val="79"/>
        </w:numPr>
        <w:spacing w:before="120" w:after="120" w:line="288" w:lineRule="auto"/>
        <w:ind w:left="0"/>
        <w:jc w:val="left"/>
      </w:pPr>
      <w:r>
        <w:rPr>
          <w:rFonts w:eastAsia="等线" w:ascii="Arial" w:cs="Arial" w:hAnsi="Arial"/>
          <w:sz w:val="22"/>
        </w:rPr>
        <w:t>角色</w:t>
      </w:r>
    </w:p>
    <w:p>
      <w:pPr>
        <w:numPr>
          <w:numId w:val="80"/>
        </w:numPr>
        <w:spacing w:before="120" w:after="120" w:line="288" w:lineRule="auto"/>
        <w:ind w:left="0"/>
        <w:jc w:val="left"/>
      </w:pPr>
      <w:r>
        <w:rPr>
          <w:rFonts w:eastAsia="等线" w:ascii="Arial" w:cs="Arial" w:hAnsi="Arial"/>
          <w:sz w:val="22"/>
        </w:rPr>
        <w:t>文化</w:t>
      </w:r>
    </w:p>
    <w:p>
      <w:pPr>
        <w:numPr>
          <w:numId w:val="81"/>
        </w:numPr>
        <w:spacing w:before="120" w:after="120" w:line="288" w:lineRule="auto"/>
        <w:ind w:left="0"/>
        <w:jc w:val="left"/>
      </w:pPr>
      <w:r>
        <w:rPr>
          <w:rFonts w:eastAsia="等线" w:ascii="Arial" w:cs="Arial" w:hAnsi="Arial"/>
          <w:sz w:val="22"/>
        </w:rPr>
        <w:t>观点</w:t>
      </w:r>
    </w:p>
    <w:p>
      <w:pPr>
        <w:numPr>
          <w:numId w:val="82"/>
        </w:numPr>
        <w:spacing w:before="120" w:after="120" w:line="288" w:lineRule="auto"/>
        <w:ind w:left="0"/>
        <w:jc w:val="left"/>
      </w:pPr>
      <w:r>
        <w:rPr>
          <w:rFonts w:eastAsia="等线" w:ascii="Arial" w:cs="Arial" w:hAnsi="Arial"/>
          <w:sz w:val="22"/>
        </w:rPr>
        <w:t>关系</w:t>
      </w:r>
    </w:p>
    <w:p>
      <w:pPr>
        <w:numPr>
          <w:numId w:val="83"/>
        </w:numPr>
        <w:spacing w:before="120" w:after="120" w:line="288" w:lineRule="auto"/>
        <w:ind w:left="0"/>
        <w:jc w:val="left"/>
      </w:pPr>
      <w:r>
        <w:rPr>
          <w:rFonts w:eastAsia="等线" w:ascii="Arial" w:cs="Arial" w:hAnsi="Arial"/>
          <w:sz w:val="22"/>
        </w:rPr>
        <w:t>数据源</w:t>
      </w:r>
    </w:p>
    <w:p>
      <w:pPr>
        <w:numPr>
          <w:numId w:val="84"/>
        </w:numPr>
        <w:spacing w:before="120" w:after="120" w:line="288" w:lineRule="auto"/>
        <w:ind w:left="0"/>
        <w:jc w:val="left"/>
      </w:pPr>
      <w:r>
        <w:rPr>
          <w:rFonts w:eastAsia="等线" w:ascii="Arial" w:cs="Arial" w:hAnsi="Arial"/>
          <w:sz w:val="22"/>
        </w:rPr>
        <w:t>查询组</w:t>
      </w:r>
    </w:p>
    <w:p>
      <w:pPr>
        <w:numPr>
          <w:numId w:val="85"/>
        </w:numPr>
        <w:spacing w:before="120" w:after="120" w:line="288" w:lineRule="auto"/>
        <w:ind w:left="0"/>
        <w:jc w:val="left"/>
      </w:pPr>
      <w:r>
        <w:rPr>
          <w:rFonts w:eastAsia="等线" w:ascii="Arial" w:cs="Arial" w:hAnsi="Arial"/>
          <w:sz w:val="22"/>
        </w:rPr>
        <w:t>模型级批注</w:t>
      </w:r>
    </w:p>
    <w:p>
      <w:pPr>
        <w:numPr>
          <w:numId w:val="86"/>
        </w:numPr>
        <w:spacing w:before="120" w:after="120" w:line="288" w:lineRule="auto"/>
        <w:ind w:left="0"/>
        <w:jc w:val="left"/>
      </w:pPr>
      <w:r>
        <w:rPr>
          <w:rFonts w:eastAsia="等线" w:ascii="Arial" w:cs="Arial" w:hAnsi="Arial"/>
          <w:sz w:val="22"/>
        </w:rPr>
        <w:t>模型级扩展属性</w:t>
      </w:r>
    </w:p>
    <w:p>
      <w:pPr>
        <w:spacing w:before="120" w:after="120" w:line="288" w:lineRule="auto"/>
        <w:ind w:left="0"/>
        <w:jc w:val="left"/>
      </w:pPr>
      <w:r>
        <w:rPr>
          <w:rFonts w:eastAsia="等线" w:ascii="Arial" w:cs="Arial" w:hAnsi="Arial"/>
          <w:sz w:val="22"/>
        </w:rPr>
        <w:t>不遵循这些缩进规则将生成分析错误。</w:t>
      </w:r>
    </w:p>
    <w:p>
      <w:pPr>
        <w:pStyle w:val="3"/>
        <w:spacing w:before="300" w:after="120" w:line="288" w:lineRule="auto"/>
        <w:ind w:left="0"/>
        <w:jc w:val="left"/>
        <w:outlineLvl w:val="2"/>
      </w:pPr>
      <w:bookmarkStart w:name="heading_19" w:id="19"/>
      <w:r>
        <w:rPr>
          <w:rFonts w:eastAsia="等线" w:ascii="Arial" w:cs="Arial" w:hAnsi="Arial"/>
          <w:b w:val="true"/>
          <w:sz w:val="30"/>
        </w:rPr>
        <w:t>空白</w:t>
      </w:r>
      <w:bookmarkEnd w:id="19"/>
    </w:p>
    <w:p>
      <w:pPr>
        <w:spacing w:before="120" w:after="120" w:line="288" w:lineRule="auto"/>
        <w:ind w:left="0"/>
        <w:jc w:val="left"/>
      </w:pPr>
      <w:r>
        <w:rPr>
          <w:rFonts w:eastAsia="等线" w:ascii="Arial" w:cs="Arial" w:hAnsi="Arial"/>
          <w:sz w:val="22"/>
        </w:rPr>
        <w:t xml:space="preserve">默认情况下，TMDL 将以下规则应用于属性和表达式值中的空格（如果未包含在反引号（ </w:t>
      </w:r>
      <w:r>
        <w:rPr>
          <w:rFonts w:eastAsia="等线" w:ascii="Arial" w:cs="Arial" w:hAnsi="Arial"/>
          <w:b w:val="true"/>
          <w:sz w:val="22"/>
        </w:rPr>
        <w:t xml:space="preserve">``` </w:t>
      </w:r>
      <w:r>
        <w:rPr>
          <w:rFonts w:eastAsia="等线" w:ascii="Arial" w:cs="Arial" w:hAnsi="Arial"/>
          <w:sz w:val="22"/>
        </w:rPr>
        <w:t xml:space="preserve">）或双引号内（ </w:t>
      </w:r>
      <w:r>
        <w:rPr>
          <w:rFonts w:eastAsia="等线" w:ascii="Arial" w:cs="Arial" w:hAnsi="Arial"/>
          <w:b w:val="true"/>
          <w:sz w:val="22"/>
        </w:rPr>
        <w:t xml:space="preserve">“ </w:t>
      </w:r>
      <w:r>
        <w:rPr>
          <w:rFonts w:eastAsia="等线" w:ascii="Arial" w:cs="Arial" w:hAnsi="Arial"/>
          <w:sz w:val="22"/>
        </w:rPr>
        <w:t>）：</w:t>
      </w:r>
    </w:p>
    <w:p>
      <w:pPr>
        <w:numPr>
          <w:numId w:val="87"/>
        </w:numPr>
        <w:spacing w:before="120" w:after="120" w:line="288" w:lineRule="auto"/>
        <w:ind w:left="0"/>
        <w:jc w:val="left"/>
      </w:pPr>
      <w:r>
        <w:rPr>
          <w:rFonts w:eastAsia="等线" w:ascii="Arial" w:cs="Arial" w:hAnsi="Arial"/>
          <w:sz w:val="22"/>
        </w:rPr>
        <w:t>在属性值上，将剪裁前导空格和尾随空格。</w:t>
      </w:r>
    </w:p>
    <w:p>
      <w:pPr>
        <w:numPr>
          <w:numId w:val="88"/>
        </w:numPr>
        <w:spacing w:before="120" w:after="120" w:line="288" w:lineRule="auto"/>
        <w:ind w:left="0"/>
        <w:jc w:val="left"/>
      </w:pPr>
      <w:r>
        <w:rPr>
          <w:rFonts w:eastAsia="等线" w:ascii="Arial" w:cs="Arial" w:hAnsi="Arial"/>
          <w:sz w:val="22"/>
        </w:rPr>
        <w:t>在表达式上，删除表达式末尾的空格行。</w:t>
      </w:r>
    </w:p>
    <w:p>
      <w:pPr>
        <w:numPr>
          <w:numId w:val="89"/>
        </w:numPr>
        <w:spacing w:before="120" w:after="120" w:line="288" w:lineRule="auto"/>
        <w:ind w:left="0"/>
        <w:jc w:val="left"/>
      </w:pPr>
      <w:r>
        <w:rPr>
          <w:rFonts w:eastAsia="等线" w:ascii="Arial" w:cs="Arial" w:hAnsi="Arial"/>
          <w:sz w:val="22"/>
        </w:rPr>
        <w:t>空格行被剪裁为空行（无空格/制表符）。</w:t>
      </w:r>
    </w:p>
    <w:p>
      <w:pPr>
        <w:pStyle w:val="3"/>
        <w:spacing w:before="300" w:after="120" w:line="288" w:lineRule="auto"/>
        <w:ind w:left="0"/>
        <w:jc w:val="left"/>
        <w:outlineLvl w:val="2"/>
      </w:pPr>
      <w:bookmarkStart w:name="heading_20" w:id="20"/>
      <w:r>
        <w:rPr>
          <w:rFonts w:eastAsia="等线" w:ascii="Arial" w:cs="Arial" w:hAnsi="Arial"/>
          <w:b w:val="true"/>
          <w:sz w:val="30"/>
        </w:rPr>
        <w:t>套管</w:t>
      </w:r>
      <w:bookmarkEnd w:id="20"/>
    </w:p>
    <w:p>
      <w:pPr>
        <w:spacing w:before="120" w:after="120" w:line="288" w:lineRule="auto"/>
        <w:ind w:left="0"/>
        <w:jc w:val="left"/>
      </w:pPr>
      <w:r>
        <w:rPr>
          <w:rFonts w:eastAsia="等线" w:ascii="Arial" w:cs="Arial" w:hAnsi="Arial"/>
          <w:sz w:val="22"/>
        </w:rPr>
        <w:t xml:space="preserve">默认情况下，TMDL API 在序列化/写入时使用 </w:t>
      </w:r>
      <w:r>
        <w:rPr>
          <w:rFonts w:eastAsia="等线" w:ascii="Arial" w:cs="Arial" w:hAnsi="Arial"/>
          <w:b w:val="true"/>
          <w:sz w:val="22"/>
        </w:rPr>
        <w:t xml:space="preserve">camelCase </w:t>
      </w:r>
      <w:r>
        <w:rPr>
          <w:rFonts w:eastAsia="等线" w:ascii="Arial" w:cs="Arial" w:hAnsi="Arial"/>
          <w:sz w:val="22"/>
        </w:rPr>
        <w:t>，适用于：</w:t>
      </w:r>
    </w:p>
    <w:p>
      <w:pPr>
        <w:numPr>
          <w:numId w:val="90"/>
        </w:numPr>
        <w:spacing w:before="120" w:after="120" w:line="288" w:lineRule="auto"/>
        <w:ind w:left="0"/>
        <w:jc w:val="left"/>
      </w:pPr>
      <w:r>
        <w:rPr>
          <w:rFonts w:eastAsia="等线" w:ascii="Arial" w:cs="Arial" w:hAnsi="Arial"/>
          <w:sz w:val="22"/>
        </w:rPr>
        <w:t>对象类型</w:t>
      </w:r>
    </w:p>
    <w:p>
      <w:pPr>
        <w:numPr>
          <w:numId w:val="91"/>
        </w:numPr>
        <w:spacing w:before="120" w:after="120" w:line="288" w:lineRule="auto"/>
        <w:ind w:left="0"/>
        <w:jc w:val="left"/>
      </w:pPr>
      <w:r>
        <w:rPr>
          <w:rFonts w:eastAsia="等线" w:ascii="Arial" w:cs="Arial" w:hAnsi="Arial"/>
          <w:sz w:val="22"/>
        </w:rPr>
        <w:t>关键字</w:t>
      </w:r>
    </w:p>
    <w:p>
      <w:pPr>
        <w:numPr>
          <w:numId w:val="92"/>
        </w:num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在反序列化/读取时，TMDL API 不区分大小写。</w:t>
      </w:r>
    </w:p>
    <w:p>
      <w:pPr>
        <w:pStyle w:val="2"/>
        <w:spacing w:before="320" w:after="120" w:line="288" w:lineRule="auto"/>
        <w:ind w:left="0"/>
        <w:jc w:val="left"/>
        <w:outlineLvl w:val="1"/>
      </w:pPr>
      <w:bookmarkStart w:name="heading_21" w:id="21"/>
      <w:r>
        <w:rPr>
          <w:rFonts w:eastAsia="等线" w:ascii="Arial" w:cs="Arial" w:hAnsi="Arial"/>
          <w:b w:val="true"/>
          <w:sz w:val="32"/>
        </w:rPr>
        <w:t>相关内容</w:t>
      </w:r>
      <w:bookmarkEnd w:id="21"/>
    </w:p>
    <w:p>
      <w:pPr>
        <w:spacing w:before="120" w:after="120" w:line="288" w:lineRule="auto"/>
        <w:ind w:left="0"/>
        <w:jc w:val="left"/>
      </w:pPr>
      <w:r>
        <w:rPr>
          <w:rFonts w:eastAsia="等线" w:ascii="Arial" w:cs="Arial" w:hAnsi="Arial"/>
          <w:sz w:val="22"/>
        </w:rPr>
        <w:t xml:space="preserve">了解 TMDL 后，请务必了解 </w:t>
      </w:r>
      <w:hyperlink r:id="rId26">
        <w:r>
          <w:rPr>
            <w:rFonts w:eastAsia="等线" w:ascii="Arial" w:cs="Arial" w:hAnsi="Arial"/>
            <w:color w:val="3370ff"/>
            <w:sz w:val="22"/>
          </w:rPr>
          <w:t xml:space="preserve">TMDL </w:t>
        </w:r>
      </w:hyperlink>
      <w:r>
        <w:rPr>
          <w:rFonts w:eastAsia="等线" w:ascii="Arial" w:cs="Arial" w:hAnsi="Arial"/>
          <w:sz w:val="22"/>
        </w:rPr>
        <w:t>入门，了解如何获取和部署 Power BI 语义模型的 TMDL 模型表示形式。</w:t>
      </w:r>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3479">
    <w:lvl>
      <w:numFmt w:val="bullet"/>
      <w:suff w:val="tab"/>
      <w:lvlText w:val="•"/>
      <w:rPr>
        <w:color w:val="3370ff"/>
      </w:rPr>
    </w:lvl>
  </w:abstractNum>
  <w:abstractNum w:abstractNumId="153480">
    <w:lvl>
      <w:numFmt w:val="bullet"/>
      <w:suff w:val="tab"/>
      <w:lvlText w:val="•"/>
      <w:rPr>
        <w:color w:val="3370ff"/>
      </w:rPr>
    </w:lvl>
  </w:abstractNum>
  <w:abstractNum w:abstractNumId="153481">
    <w:lvl>
      <w:numFmt w:val="bullet"/>
      <w:suff w:val="tab"/>
      <w:lvlText w:val="•"/>
      <w:rPr>
        <w:color w:val="3370ff"/>
      </w:rPr>
    </w:lvl>
  </w:abstractNum>
  <w:abstractNum w:abstractNumId="153482">
    <w:lvl>
      <w:numFmt w:val="bullet"/>
      <w:suff w:val="tab"/>
      <w:lvlText w:val="•"/>
      <w:rPr>
        <w:color w:val="3370ff"/>
      </w:rPr>
    </w:lvl>
  </w:abstractNum>
  <w:abstractNum w:abstractNumId="153483">
    <w:lvl>
      <w:numFmt w:val="bullet"/>
      <w:suff w:val="tab"/>
      <w:lvlText w:val="•"/>
      <w:rPr>
        <w:color w:val="3370ff"/>
      </w:rPr>
    </w:lvl>
  </w:abstractNum>
  <w:abstractNum w:abstractNumId="153484">
    <w:lvl>
      <w:numFmt w:val="bullet"/>
      <w:suff w:val="tab"/>
      <w:lvlText w:val="•"/>
      <w:rPr>
        <w:color w:val="3370ff"/>
      </w:rPr>
    </w:lvl>
  </w:abstractNum>
  <w:abstractNum w:abstractNumId="153485">
    <w:lvl>
      <w:numFmt w:val="bullet"/>
      <w:suff w:val="tab"/>
      <w:lvlText w:val="•"/>
      <w:rPr>
        <w:color w:val="3370ff"/>
      </w:rPr>
    </w:lvl>
  </w:abstractNum>
  <w:abstractNum w:abstractNumId="153486">
    <w:lvl>
      <w:numFmt w:val="bullet"/>
      <w:suff w:val="tab"/>
      <w:lvlText w:val="•"/>
      <w:rPr>
        <w:color w:val="3370ff"/>
      </w:rPr>
    </w:lvl>
  </w:abstractNum>
  <w:abstractNum w:abstractNumId="153487">
    <w:lvl>
      <w:numFmt w:val="bullet"/>
      <w:suff w:val="tab"/>
      <w:lvlText w:val="•"/>
      <w:rPr>
        <w:color w:val="3370ff"/>
      </w:rPr>
    </w:lvl>
  </w:abstractNum>
  <w:abstractNum w:abstractNumId="153488">
    <w:lvl>
      <w:numFmt w:val="bullet"/>
      <w:suff w:val="tab"/>
      <w:lvlText w:val="•"/>
      <w:rPr>
        <w:color w:val="3370ff"/>
      </w:rPr>
    </w:lvl>
  </w:abstractNum>
  <w:abstractNum w:abstractNumId="153489">
    <w:lvl>
      <w:numFmt w:val="bullet"/>
      <w:suff w:val="tab"/>
      <w:lvlText w:val="•"/>
      <w:rPr>
        <w:color w:val="3370ff"/>
      </w:rPr>
    </w:lvl>
  </w:abstractNum>
  <w:abstractNum w:abstractNumId="153490">
    <w:lvl>
      <w:numFmt w:val="bullet"/>
      <w:suff w:val="tab"/>
      <w:lvlText w:val="•"/>
      <w:rPr>
        <w:color w:val="3370ff"/>
      </w:rPr>
    </w:lvl>
  </w:abstractNum>
  <w:abstractNum w:abstractNumId="153491">
    <w:lvl>
      <w:numFmt w:val="bullet"/>
      <w:suff w:val="tab"/>
      <w:lvlText w:val="•"/>
      <w:rPr>
        <w:color w:val="3370ff"/>
      </w:rPr>
    </w:lvl>
  </w:abstractNum>
  <w:abstractNum w:abstractNumId="153492">
    <w:lvl>
      <w:numFmt w:val="bullet"/>
      <w:suff w:val="tab"/>
      <w:lvlText w:val="•"/>
      <w:rPr>
        <w:color w:val="3370ff"/>
      </w:rPr>
    </w:lvl>
  </w:abstractNum>
  <w:abstractNum w:abstractNumId="153493">
    <w:lvl>
      <w:numFmt w:val="bullet"/>
      <w:suff w:val="tab"/>
      <w:lvlText w:val="•"/>
      <w:rPr>
        <w:color w:val="3370ff"/>
      </w:rPr>
    </w:lvl>
  </w:abstractNum>
  <w:abstractNum w:abstractNumId="153494">
    <w:lvl>
      <w:numFmt w:val="bullet"/>
      <w:suff w:val="tab"/>
      <w:lvlText w:val="•"/>
      <w:rPr>
        <w:color w:val="3370ff"/>
      </w:rPr>
    </w:lvl>
  </w:abstractNum>
  <w:abstractNum w:abstractNumId="153495">
    <w:lvl>
      <w:numFmt w:val="bullet"/>
      <w:suff w:val="tab"/>
      <w:lvlText w:val="•"/>
      <w:rPr>
        <w:color w:val="3370ff"/>
      </w:rPr>
    </w:lvl>
  </w:abstractNum>
  <w:abstractNum w:abstractNumId="153496">
    <w:lvl>
      <w:numFmt w:val="bullet"/>
      <w:suff w:val="tab"/>
      <w:lvlText w:val="•"/>
      <w:rPr>
        <w:color w:val="3370ff"/>
      </w:rPr>
    </w:lvl>
  </w:abstractNum>
  <w:abstractNum w:abstractNumId="153497">
    <w:lvl>
      <w:numFmt w:val="bullet"/>
      <w:suff w:val="tab"/>
      <w:lvlText w:val="•"/>
      <w:rPr>
        <w:color w:val="3370ff"/>
      </w:rPr>
    </w:lvl>
  </w:abstractNum>
  <w:abstractNum w:abstractNumId="153498">
    <w:lvl>
      <w:numFmt w:val="bullet"/>
      <w:suff w:val="tab"/>
      <w:lvlText w:val="•"/>
      <w:rPr>
        <w:color w:val="3370ff"/>
      </w:rPr>
    </w:lvl>
  </w:abstractNum>
  <w:abstractNum w:abstractNumId="153499">
    <w:lvl>
      <w:numFmt w:val="bullet"/>
      <w:suff w:val="tab"/>
      <w:lvlText w:val="•"/>
      <w:rPr>
        <w:color w:val="3370ff"/>
      </w:rPr>
    </w:lvl>
  </w:abstractNum>
  <w:abstractNum w:abstractNumId="153500">
    <w:lvl>
      <w:numFmt w:val="bullet"/>
      <w:suff w:val="tab"/>
      <w:lvlText w:val="•"/>
      <w:rPr>
        <w:color w:val="3370ff"/>
      </w:rPr>
    </w:lvl>
  </w:abstractNum>
  <w:abstractNum w:abstractNumId="153501">
    <w:lvl>
      <w:numFmt w:val="bullet"/>
      <w:suff w:val="tab"/>
      <w:lvlText w:val="•"/>
      <w:rPr>
        <w:color w:val="3370ff"/>
      </w:rPr>
    </w:lvl>
  </w:abstractNum>
  <w:abstractNum w:abstractNumId="153502">
    <w:lvl>
      <w:numFmt w:val="bullet"/>
      <w:suff w:val="tab"/>
      <w:lvlText w:val="•"/>
      <w:rPr>
        <w:color w:val="3370ff"/>
      </w:rPr>
    </w:lvl>
  </w:abstractNum>
  <w:abstractNum w:abstractNumId="153503">
    <w:lvl>
      <w:numFmt w:val="bullet"/>
      <w:suff w:val="tab"/>
      <w:lvlText w:val="•"/>
      <w:rPr>
        <w:color w:val="3370ff"/>
      </w:rPr>
    </w:lvl>
  </w:abstractNum>
  <w:abstractNum w:abstractNumId="153504">
    <w:lvl>
      <w:numFmt w:val="bullet"/>
      <w:suff w:val="tab"/>
      <w:lvlText w:val="•"/>
      <w:rPr>
        <w:color w:val="3370ff"/>
      </w:rPr>
    </w:lvl>
  </w:abstractNum>
  <w:abstractNum w:abstractNumId="153505">
    <w:lvl>
      <w:numFmt w:val="bullet"/>
      <w:suff w:val="tab"/>
      <w:lvlText w:val="•"/>
      <w:rPr>
        <w:color w:val="3370ff"/>
      </w:rPr>
    </w:lvl>
  </w:abstractNum>
  <w:abstractNum w:abstractNumId="153506">
    <w:lvl>
      <w:numFmt w:val="bullet"/>
      <w:suff w:val="tab"/>
      <w:lvlText w:val="•"/>
      <w:rPr>
        <w:color w:val="3370ff"/>
      </w:rPr>
    </w:lvl>
  </w:abstractNum>
  <w:abstractNum w:abstractNumId="153507">
    <w:lvl>
      <w:numFmt w:val="bullet"/>
      <w:suff w:val="tab"/>
      <w:lvlText w:val="•"/>
      <w:rPr>
        <w:color w:val="3370ff"/>
      </w:rPr>
    </w:lvl>
  </w:abstractNum>
  <w:abstractNum w:abstractNumId="153508">
    <w:lvl>
      <w:numFmt w:val="bullet"/>
      <w:suff w:val="tab"/>
      <w:lvlText w:val="•"/>
      <w:rPr>
        <w:color w:val="3370ff"/>
      </w:rPr>
    </w:lvl>
  </w:abstractNum>
  <w:abstractNum w:abstractNumId="153509">
    <w:lvl>
      <w:numFmt w:val="bullet"/>
      <w:suff w:val="tab"/>
      <w:lvlText w:val="•"/>
      <w:rPr>
        <w:color w:val="3370ff"/>
      </w:rPr>
    </w:lvl>
  </w:abstractNum>
  <w:abstractNum w:abstractNumId="153510">
    <w:lvl>
      <w:numFmt w:val="bullet"/>
      <w:suff w:val="tab"/>
      <w:lvlText w:val="•"/>
      <w:rPr>
        <w:color w:val="3370ff"/>
      </w:rPr>
    </w:lvl>
  </w:abstractNum>
  <w:abstractNum w:abstractNumId="153511">
    <w:lvl>
      <w:numFmt w:val="bullet"/>
      <w:suff w:val="tab"/>
      <w:lvlText w:val="•"/>
      <w:rPr>
        <w:color w:val="3370ff"/>
      </w:rPr>
    </w:lvl>
  </w:abstractNum>
  <w:abstractNum w:abstractNumId="153512">
    <w:lvl>
      <w:numFmt w:val="bullet"/>
      <w:suff w:val="tab"/>
      <w:lvlText w:val="•"/>
      <w:rPr>
        <w:color w:val="3370ff"/>
      </w:rPr>
    </w:lvl>
  </w:abstractNum>
  <w:abstractNum w:abstractNumId="153513">
    <w:lvl>
      <w:numFmt w:val="bullet"/>
      <w:suff w:val="tab"/>
      <w:lvlText w:val="•"/>
      <w:rPr>
        <w:color w:val="3370ff"/>
      </w:rPr>
    </w:lvl>
  </w:abstractNum>
  <w:abstractNum w:abstractNumId="153514">
    <w:lvl>
      <w:numFmt w:val="bullet"/>
      <w:suff w:val="tab"/>
      <w:lvlText w:val="•"/>
      <w:rPr>
        <w:color w:val="3370ff"/>
      </w:rPr>
    </w:lvl>
  </w:abstractNum>
  <w:abstractNum w:abstractNumId="153515">
    <w:lvl>
      <w:numFmt w:val="bullet"/>
      <w:suff w:val="tab"/>
      <w:lvlText w:val="•"/>
      <w:rPr>
        <w:color w:val="3370ff"/>
      </w:rPr>
    </w:lvl>
  </w:abstractNum>
  <w:abstractNum w:abstractNumId="153516">
    <w:lvl>
      <w:numFmt w:val="bullet"/>
      <w:suff w:val="tab"/>
      <w:lvlText w:val="￮"/>
      <w:rPr>
        <w:color w:val="3370ff"/>
      </w:rPr>
    </w:lvl>
  </w:abstractNum>
  <w:abstractNum w:abstractNumId="153517">
    <w:lvl>
      <w:numFmt w:val="bullet"/>
      <w:suff w:val="tab"/>
      <w:lvlText w:val="￮"/>
      <w:rPr>
        <w:color w:val="3370ff"/>
      </w:rPr>
    </w:lvl>
  </w:abstractNum>
  <w:abstractNum w:abstractNumId="153518">
    <w:lvl>
      <w:numFmt w:val="bullet"/>
      <w:suff w:val="tab"/>
      <w:lvlText w:val="￮"/>
      <w:rPr>
        <w:color w:val="3370ff"/>
      </w:rPr>
    </w:lvl>
  </w:abstractNum>
  <w:abstractNum w:abstractNumId="153519">
    <w:lvl>
      <w:numFmt w:val="bullet"/>
      <w:suff w:val="tab"/>
      <w:lvlText w:val="•"/>
      <w:rPr>
        <w:color w:val="3370ff"/>
      </w:rPr>
    </w:lvl>
  </w:abstractNum>
  <w:abstractNum w:abstractNumId="153520">
    <w:lvl>
      <w:numFmt w:val="bullet"/>
      <w:suff w:val="tab"/>
      <w:lvlText w:val="•"/>
      <w:rPr>
        <w:color w:val="3370ff"/>
      </w:rPr>
    </w:lvl>
  </w:abstractNum>
  <w:abstractNum w:abstractNumId="153521">
    <w:lvl>
      <w:numFmt w:val="bullet"/>
      <w:suff w:val="tab"/>
      <w:lvlText w:val="•"/>
      <w:rPr>
        <w:color w:val="3370ff"/>
      </w:rPr>
    </w:lvl>
  </w:abstractNum>
  <w:abstractNum w:abstractNumId="153522">
    <w:lvl>
      <w:numFmt w:val="bullet"/>
      <w:suff w:val="tab"/>
      <w:lvlText w:val="•"/>
      <w:rPr>
        <w:color w:val="3370ff"/>
      </w:rPr>
    </w:lvl>
  </w:abstractNum>
  <w:abstractNum w:abstractNumId="153523">
    <w:lvl>
      <w:numFmt w:val="bullet"/>
      <w:suff w:val="tab"/>
      <w:lvlText w:val="•"/>
      <w:rPr>
        <w:color w:val="3370ff"/>
      </w:rPr>
    </w:lvl>
  </w:abstractNum>
  <w:abstractNum w:abstractNumId="153524">
    <w:lvl>
      <w:numFmt w:val="bullet"/>
      <w:suff w:val="tab"/>
      <w:lvlText w:val="•"/>
      <w:rPr>
        <w:color w:val="3370ff"/>
      </w:rPr>
    </w:lvl>
  </w:abstractNum>
  <w:abstractNum w:abstractNumId="153525">
    <w:lvl>
      <w:numFmt w:val="bullet"/>
      <w:suff w:val="tab"/>
      <w:lvlText w:val="•"/>
      <w:rPr>
        <w:color w:val="3370ff"/>
      </w:rPr>
    </w:lvl>
  </w:abstractNum>
  <w:abstractNum w:abstractNumId="153526">
    <w:lvl>
      <w:numFmt w:val="bullet"/>
      <w:suff w:val="tab"/>
      <w:lvlText w:val="•"/>
      <w:rPr>
        <w:color w:val="3370ff"/>
      </w:rPr>
    </w:lvl>
  </w:abstractNum>
  <w:abstractNum w:abstractNumId="153527">
    <w:lvl>
      <w:numFmt w:val="bullet"/>
      <w:suff w:val="tab"/>
      <w:lvlText w:val="•"/>
      <w:rPr>
        <w:color w:val="3370ff"/>
      </w:rPr>
    </w:lvl>
  </w:abstractNum>
  <w:abstractNum w:abstractNumId="153528">
    <w:lvl>
      <w:numFmt w:val="bullet"/>
      <w:suff w:val="tab"/>
      <w:lvlText w:val="•"/>
      <w:rPr>
        <w:color w:val="3370ff"/>
      </w:rPr>
    </w:lvl>
  </w:abstractNum>
  <w:abstractNum w:abstractNumId="153529">
    <w:lvl>
      <w:numFmt w:val="bullet"/>
      <w:suff w:val="tab"/>
      <w:lvlText w:val="•"/>
      <w:rPr>
        <w:color w:val="3370ff"/>
      </w:rPr>
    </w:lvl>
  </w:abstractNum>
  <w:abstractNum w:abstractNumId="153530">
    <w:lvl>
      <w:numFmt w:val="bullet"/>
      <w:suff w:val="tab"/>
      <w:lvlText w:val="•"/>
      <w:rPr>
        <w:color w:val="3370ff"/>
      </w:rPr>
    </w:lvl>
  </w:abstractNum>
  <w:abstractNum w:abstractNumId="153531">
    <w:lvl>
      <w:numFmt w:val="bullet"/>
      <w:suff w:val="tab"/>
      <w:lvlText w:val="•"/>
      <w:rPr>
        <w:color w:val="3370ff"/>
      </w:rPr>
    </w:lvl>
  </w:abstractNum>
  <w:abstractNum w:abstractNumId="153532">
    <w:lvl>
      <w:numFmt w:val="bullet"/>
      <w:suff w:val="tab"/>
      <w:lvlText w:val="•"/>
      <w:rPr>
        <w:color w:val="3370ff"/>
      </w:rPr>
    </w:lvl>
  </w:abstractNum>
  <w:abstractNum w:abstractNumId="153533">
    <w:lvl>
      <w:numFmt w:val="bullet"/>
      <w:suff w:val="tab"/>
      <w:lvlText w:val="•"/>
      <w:rPr>
        <w:color w:val="3370ff"/>
      </w:rPr>
    </w:lvl>
  </w:abstractNum>
  <w:abstractNum w:abstractNumId="153534">
    <w:lvl>
      <w:numFmt w:val="bullet"/>
      <w:suff w:val="tab"/>
      <w:lvlText w:val="•"/>
      <w:rPr>
        <w:color w:val="3370ff"/>
      </w:rPr>
    </w:lvl>
  </w:abstractNum>
  <w:abstractNum w:abstractNumId="153535">
    <w:lvl>
      <w:numFmt w:val="bullet"/>
      <w:suff w:val="tab"/>
      <w:lvlText w:val="•"/>
      <w:rPr>
        <w:color w:val="3370ff"/>
      </w:rPr>
    </w:lvl>
  </w:abstractNum>
  <w:abstractNum w:abstractNumId="153536">
    <w:lvl>
      <w:numFmt w:val="bullet"/>
      <w:suff w:val="tab"/>
      <w:lvlText w:val="￮"/>
      <w:rPr>
        <w:color w:val="3370ff"/>
      </w:rPr>
    </w:lvl>
  </w:abstractNum>
  <w:abstractNum w:abstractNumId="153537">
    <w:lvl>
      <w:numFmt w:val="bullet"/>
      <w:suff w:val="tab"/>
      <w:lvlText w:val="￮"/>
      <w:rPr>
        <w:color w:val="3370ff"/>
      </w:rPr>
    </w:lvl>
  </w:abstractNum>
  <w:abstractNum w:abstractNumId="153538">
    <w:lvl>
      <w:numFmt w:val="bullet"/>
      <w:suff w:val="tab"/>
      <w:lvlText w:val="•"/>
      <w:rPr>
        <w:color w:val="3370ff"/>
      </w:rPr>
    </w:lvl>
  </w:abstractNum>
  <w:abstractNum w:abstractNumId="153539">
    <w:lvl>
      <w:numFmt w:val="bullet"/>
      <w:suff w:val="tab"/>
      <w:lvlText w:val="￮"/>
      <w:rPr>
        <w:color w:val="3370ff"/>
      </w:rPr>
    </w:lvl>
  </w:abstractNum>
  <w:abstractNum w:abstractNumId="153540">
    <w:lvl>
      <w:numFmt w:val="bullet"/>
      <w:suff w:val="tab"/>
      <w:lvlText w:val="￮"/>
      <w:rPr>
        <w:color w:val="3370ff"/>
      </w:rPr>
    </w:lvl>
  </w:abstractNum>
  <w:abstractNum w:abstractNumId="153541">
    <w:lvl>
      <w:numFmt w:val="bullet"/>
      <w:suff w:val="tab"/>
      <w:lvlText w:val="￮"/>
      <w:rPr>
        <w:color w:val="3370ff"/>
      </w:rPr>
    </w:lvl>
  </w:abstractNum>
  <w:abstractNum w:abstractNumId="153542">
    <w:lvl>
      <w:numFmt w:val="bullet"/>
      <w:suff w:val="tab"/>
      <w:lvlText w:val="•"/>
      <w:rPr>
        <w:color w:val="3370ff"/>
      </w:rPr>
    </w:lvl>
  </w:abstractNum>
  <w:abstractNum w:abstractNumId="153543">
    <w:lvl>
      <w:numFmt w:val="bullet"/>
      <w:suff w:val="tab"/>
      <w:lvlText w:val="￮"/>
      <w:rPr>
        <w:color w:val="3370ff"/>
      </w:rPr>
    </w:lvl>
  </w:abstractNum>
  <w:abstractNum w:abstractNumId="153544">
    <w:lvl>
      <w:numFmt w:val="bullet"/>
      <w:suff w:val="tab"/>
      <w:lvlText w:val="￮"/>
      <w:rPr>
        <w:color w:val="3370ff"/>
      </w:rPr>
    </w:lvl>
  </w:abstractNum>
  <w:abstractNum w:abstractNumId="153545">
    <w:lvl>
      <w:numFmt w:val="bullet"/>
      <w:suff w:val="tab"/>
      <w:lvlText w:val="•"/>
      <w:rPr>
        <w:color w:val="3370ff"/>
      </w:rPr>
    </w:lvl>
  </w:abstractNum>
  <w:abstractNum w:abstractNumId="153546">
    <w:lvl>
      <w:numFmt w:val="bullet"/>
      <w:suff w:val="tab"/>
      <w:lvlText w:val="￮"/>
      <w:rPr>
        <w:color w:val="3370ff"/>
      </w:rPr>
    </w:lvl>
  </w:abstractNum>
  <w:abstractNum w:abstractNumId="153547">
    <w:lvl>
      <w:numFmt w:val="bullet"/>
      <w:suff w:val="tab"/>
      <w:lvlText w:val="•"/>
      <w:rPr>
        <w:color w:val="3370ff"/>
      </w:rPr>
    </w:lvl>
  </w:abstractNum>
  <w:abstractNum w:abstractNumId="153548">
    <w:lvl>
      <w:numFmt w:val="bullet"/>
      <w:suff w:val="tab"/>
      <w:lvlText w:val="￮"/>
      <w:rPr>
        <w:color w:val="3370ff"/>
      </w:rPr>
    </w:lvl>
  </w:abstractNum>
  <w:abstractNum w:abstractNumId="153549">
    <w:lvl>
      <w:numFmt w:val="bullet"/>
      <w:suff w:val="tab"/>
      <w:lvlText w:val="▪"/>
      <w:rPr>
        <w:color w:val="3370ff"/>
        <w:sz w:val="11"/>
      </w:rPr>
    </w:lvl>
  </w:abstractNum>
  <w:abstractNum w:abstractNumId="153550">
    <w:lvl>
      <w:numFmt w:val="bullet"/>
      <w:suff w:val="tab"/>
      <w:lvlText w:val="•"/>
      <w:rPr>
        <w:color w:val="3370ff"/>
      </w:rPr>
    </w:lvl>
  </w:abstractNum>
  <w:abstractNum w:abstractNumId="153551">
    <w:lvl>
      <w:numFmt w:val="bullet"/>
      <w:suff w:val="tab"/>
      <w:lvlText w:val="•"/>
      <w:rPr>
        <w:color w:val="3370ff"/>
      </w:rPr>
    </w:lvl>
  </w:abstractNum>
  <w:abstractNum w:abstractNumId="153552">
    <w:lvl>
      <w:numFmt w:val="bullet"/>
      <w:suff w:val="tab"/>
      <w:lvlText w:val="•"/>
      <w:rPr>
        <w:color w:val="3370ff"/>
      </w:rPr>
    </w:lvl>
  </w:abstractNum>
  <w:abstractNum w:abstractNumId="153553">
    <w:lvl>
      <w:numFmt w:val="bullet"/>
      <w:suff w:val="tab"/>
      <w:lvlText w:val="•"/>
      <w:rPr>
        <w:color w:val="3370ff"/>
      </w:rPr>
    </w:lvl>
  </w:abstractNum>
  <w:abstractNum w:abstractNumId="153554">
    <w:lvl>
      <w:numFmt w:val="bullet"/>
      <w:suff w:val="tab"/>
      <w:lvlText w:val="•"/>
      <w:rPr>
        <w:color w:val="3370ff"/>
      </w:rPr>
    </w:lvl>
  </w:abstractNum>
  <w:abstractNum w:abstractNumId="153555">
    <w:lvl>
      <w:numFmt w:val="bullet"/>
      <w:suff w:val="tab"/>
      <w:lvlText w:val="•"/>
      <w:rPr>
        <w:color w:val="3370ff"/>
      </w:rPr>
    </w:lvl>
  </w:abstractNum>
  <w:abstractNum w:abstractNumId="153556">
    <w:lvl>
      <w:numFmt w:val="bullet"/>
      <w:suff w:val="tab"/>
      <w:lvlText w:val="•"/>
      <w:rPr>
        <w:color w:val="3370ff"/>
      </w:rPr>
    </w:lvl>
  </w:abstractNum>
  <w:abstractNum w:abstractNumId="153557">
    <w:lvl>
      <w:numFmt w:val="bullet"/>
      <w:suff w:val="tab"/>
      <w:lvlText w:val="•"/>
      <w:rPr>
        <w:color w:val="3370ff"/>
      </w:rPr>
    </w:lvl>
  </w:abstractNum>
  <w:abstractNum w:abstractNumId="153558">
    <w:lvl>
      <w:numFmt w:val="bullet"/>
      <w:suff w:val="tab"/>
      <w:lvlText w:val="•"/>
      <w:rPr>
        <w:color w:val="3370ff"/>
      </w:rPr>
    </w:lvl>
  </w:abstractNum>
  <w:abstractNum w:abstractNumId="153559">
    <w:lvl>
      <w:numFmt w:val="bullet"/>
      <w:suff w:val="tab"/>
      <w:lvlText w:val="•"/>
      <w:rPr>
        <w:color w:val="3370ff"/>
      </w:rPr>
    </w:lvl>
  </w:abstractNum>
  <w:abstractNum w:abstractNumId="153560">
    <w:lvl>
      <w:numFmt w:val="bullet"/>
      <w:suff w:val="tab"/>
      <w:lvlText w:val="•"/>
      <w:rPr>
        <w:color w:val="3370ff"/>
      </w:rPr>
    </w:lvl>
  </w:abstractNum>
  <w:abstractNum w:abstractNumId="153561">
    <w:lvl>
      <w:numFmt w:val="bullet"/>
      <w:suff w:val="tab"/>
      <w:lvlText w:val="•"/>
      <w:rPr>
        <w:color w:val="3370ff"/>
      </w:rPr>
    </w:lvl>
  </w:abstractNum>
  <w:abstractNum w:abstractNumId="153562">
    <w:lvl>
      <w:numFmt w:val="bullet"/>
      <w:suff w:val="tab"/>
      <w:lvlText w:val="•"/>
      <w:rPr>
        <w:color w:val="3370ff"/>
      </w:rPr>
    </w:lvl>
  </w:abstractNum>
  <w:abstractNum w:abstractNumId="153563">
    <w:lvl>
      <w:numFmt w:val="bullet"/>
      <w:suff w:val="tab"/>
      <w:lvlText w:val="•"/>
      <w:rPr>
        <w:color w:val="3370ff"/>
      </w:rPr>
    </w:lvl>
  </w:abstractNum>
  <w:abstractNum w:abstractNumId="153564">
    <w:lvl>
      <w:numFmt w:val="bullet"/>
      <w:suff w:val="tab"/>
      <w:lvlText w:val="•"/>
      <w:rPr>
        <w:color w:val="3370ff"/>
      </w:rPr>
    </w:lvl>
  </w:abstractNum>
  <w:abstractNum w:abstractNumId="153565">
    <w:lvl>
      <w:numFmt w:val="bullet"/>
      <w:suff w:val="tab"/>
      <w:lvlText w:val="•"/>
      <w:rPr>
        <w:color w:val="3370ff"/>
      </w:rPr>
    </w:lvl>
  </w:abstractNum>
  <w:abstractNum w:abstractNumId="153566">
    <w:lvl>
      <w:numFmt w:val="bullet"/>
      <w:suff w:val="tab"/>
      <w:lvlText w:val="•"/>
      <w:rPr>
        <w:color w:val="3370ff"/>
      </w:rPr>
    </w:lvl>
  </w:abstractNum>
  <w:abstractNum w:abstractNumId="153567">
    <w:lvl>
      <w:numFmt w:val="bullet"/>
      <w:suff w:val="tab"/>
      <w:lvlText w:val="•"/>
      <w:rPr>
        <w:color w:val="3370ff"/>
      </w:rPr>
    </w:lvl>
  </w:abstractNum>
  <w:abstractNum w:abstractNumId="153568">
    <w:lvl>
      <w:numFmt w:val="bullet"/>
      <w:suff w:val="tab"/>
      <w:lvlText w:val="•"/>
      <w:rPr>
        <w:color w:val="3370ff"/>
      </w:rPr>
    </w:lvl>
  </w:abstractNum>
  <w:abstractNum w:abstractNumId="153569">
    <w:lvl>
      <w:numFmt w:val="bullet"/>
      <w:suff w:val="tab"/>
      <w:lvlText w:val="•"/>
      <w:rPr>
        <w:color w:val="3370ff"/>
      </w:rPr>
    </w:lvl>
  </w:abstractNum>
  <w:abstractNum w:abstractNumId="153570">
    <w:lvl>
      <w:numFmt w:val="bullet"/>
      <w:suff w:val="tab"/>
      <w:lvlText w:val="•"/>
      <w:rPr>
        <w:color w:val="3370ff"/>
      </w:rPr>
    </w:lvl>
  </w:abstractNum>
  <w:num w:numId="1">
    <w:abstractNumId w:val="153479"/>
  </w:num>
  <w:num w:numId="2">
    <w:abstractNumId w:val="153480"/>
  </w:num>
  <w:num w:numId="3">
    <w:abstractNumId w:val="153481"/>
  </w:num>
  <w:num w:numId="4">
    <w:abstractNumId w:val="153482"/>
  </w:num>
  <w:num w:numId="5">
    <w:abstractNumId w:val="153483"/>
  </w:num>
  <w:num w:numId="6">
    <w:abstractNumId w:val="153484"/>
  </w:num>
  <w:num w:numId="7">
    <w:abstractNumId w:val="153485"/>
  </w:num>
  <w:num w:numId="8">
    <w:abstractNumId w:val="153486"/>
  </w:num>
  <w:num w:numId="9">
    <w:abstractNumId w:val="153487"/>
  </w:num>
  <w:num w:numId="10">
    <w:abstractNumId w:val="153488"/>
  </w:num>
  <w:num w:numId="11">
    <w:abstractNumId w:val="153489"/>
  </w:num>
  <w:num w:numId="12">
    <w:abstractNumId w:val="153490"/>
  </w:num>
  <w:num w:numId="13">
    <w:abstractNumId w:val="153491"/>
  </w:num>
  <w:num w:numId="14">
    <w:abstractNumId w:val="153492"/>
  </w:num>
  <w:num w:numId="15">
    <w:abstractNumId w:val="153493"/>
  </w:num>
  <w:num w:numId="16">
    <w:abstractNumId w:val="153494"/>
  </w:num>
  <w:num w:numId="17">
    <w:abstractNumId w:val="153495"/>
  </w:num>
  <w:num w:numId="18">
    <w:abstractNumId w:val="153496"/>
  </w:num>
  <w:num w:numId="19">
    <w:abstractNumId w:val="153497"/>
  </w:num>
  <w:num w:numId="20">
    <w:abstractNumId w:val="153498"/>
  </w:num>
  <w:num w:numId="21">
    <w:abstractNumId w:val="153499"/>
  </w:num>
  <w:num w:numId="22">
    <w:abstractNumId w:val="153500"/>
  </w:num>
  <w:num w:numId="23">
    <w:abstractNumId w:val="153501"/>
  </w:num>
  <w:num w:numId="24">
    <w:abstractNumId w:val="153502"/>
  </w:num>
  <w:num w:numId="25">
    <w:abstractNumId w:val="153503"/>
  </w:num>
  <w:num w:numId="26">
    <w:abstractNumId w:val="153504"/>
  </w:num>
  <w:num w:numId="27">
    <w:abstractNumId w:val="153505"/>
  </w:num>
  <w:num w:numId="28">
    <w:abstractNumId w:val="153506"/>
  </w:num>
  <w:num w:numId="29">
    <w:abstractNumId w:val="153507"/>
  </w:num>
  <w:num w:numId="30">
    <w:abstractNumId w:val="153508"/>
  </w:num>
  <w:num w:numId="31">
    <w:abstractNumId w:val="153509"/>
  </w:num>
  <w:num w:numId="32">
    <w:abstractNumId w:val="153510"/>
  </w:num>
  <w:num w:numId="33">
    <w:abstractNumId w:val="153511"/>
  </w:num>
  <w:num w:numId="34">
    <w:abstractNumId w:val="153512"/>
  </w:num>
  <w:num w:numId="35">
    <w:abstractNumId w:val="153513"/>
  </w:num>
  <w:num w:numId="36">
    <w:abstractNumId w:val="153514"/>
  </w:num>
  <w:num w:numId="37">
    <w:abstractNumId w:val="153515"/>
  </w:num>
  <w:num w:numId="38">
    <w:abstractNumId w:val="153516"/>
  </w:num>
  <w:num w:numId="39">
    <w:abstractNumId w:val="153517"/>
  </w:num>
  <w:num w:numId="40">
    <w:abstractNumId w:val="153518"/>
  </w:num>
  <w:num w:numId="41">
    <w:abstractNumId w:val="153519"/>
  </w:num>
  <w:num w:numId="42">
    <w:abstractNumId w:val="153520"/>
  </w:num>
  <w:num w:numId="43">
    <w:abstractNumId w:val="153521"/>
  </w:num>
  <w:num w:numId="44">
    <w:abstractNumId w:val="153522"/>
  </w:num>
  <w:num w:numId="45">
    <w:abstractNumId w:val="153523"/>
  </w:num>
  <w:num w:numId="46">
    <w:abstractNumId w:val="153524"/>
  </w:num>
  <w:num w:numId="47">
    <w:abstractNumId w:val="153525"/>
  </w:num>
  <w:num w:numId="48">
    <w:abstractNumId w:val="153526"/>
  </w:num>
  <w:num w:numId="49">
    <w:abstractNumId w:val="153527"/>
  </w:num>
  <w:num w:numId="50">
    <w:abstractNumId w:val="153528"/>
  </w:num>
  <w:num w:numId="51">
    <w:abstractNumId w:val="153529"/>
  </w:num>
  <w:num w:numId="52">
    <w:abstractNumId w:val="153530"/>
  </w:num>
  <w:num w:numId="53">
    <w:abstractNumId w:val="153531"/>
  </w:num>
  <w:num w:numId="54">
    <w:abstractNumId w:val="153532"/>
  </w:num>
  <w:num w:numId="55">
    <w:abstractNumId w:val="153533"/>
  </w:num>
  <w:num w:numId="56">
    <w:abstractNumId w:val="153534"/>
  </w:num>
  <w:num w:numId="57">
    <w:abstractNumId w:val="153535"/>
  </w:num>
  <w:num w:numId="58">
    <w:abstractNumId w:val="153536"/>
  </w:num>
  <w:num w:numId="59">
    <w:abstractNumId w:val="153537"/>
  </w:num>
  <w:num w:numId="60">
    <w:abstractNumId w:val="153538"/>
  </w:num>
  <w:num w:numId="61">
    <w:abstractNumId w:val="153539"/>
  </w:num>
  <w:num w:numId="62">
    <w:abstractNumId w:val="153540"/>
  </w:num>
  <w:num w:numId="63">
    <w:abstractNumId w:val="153541"/>
  </w:num>
  <w:num w:numId="64">
    <w:abstractNumId w:val="153542"/>
  </w:num>
  <w:num w:numId="65">
    <w:abstractNumId w:val="153543"/>
  </w:num>
  <w:num w:numId="66">
    <w:abstractNumId w:val="153544"/>
  </w:num>
  <w:num w:numId="67">
    <w:abstractNumId w:val="153545"/>
  </w:num>
  <w:num w:numId="68">
    <w:abstractNumId w:val="153546"/>
  </w:num>
  <w:num w:numId="69">
    <w:abstractNumId w:val="153547"/>
  </w:num>
  <w:num w:numId="70">
    <w:abstractNumId w:val="153548"/>
  </w:num>
  <w:num w:numId="71">
    <w:abstractNumId w:val="153549"/>
  </w:num>
  <w:num w:numId="72">
    <w:abstractNumId w:val="153550"/>
  </w:num>
  <w:num w:numId="73">
    <w:abstractNumId w:val="153551"/>
  </w:num>
  <w:num w:numId="74">
    <w:abstractNumId w:val="153552"/>
  </w:num>
  <w:num w:numId="75">
    <w:abstractNumId w:val="153553"/>
  </w:num>
  <w:num w:numId="76">
    <w:abstractNumId w:val="153554"/>
  </w:num>
  <w:num w:numId="77">
    <w:abstractNumId w:val="153555"/>
  </w:num>
  <w:num w:numId="78">
    <w:abstractNumId w:val="153556"/>
  </w:num>
  <w:num w:numId="79">
    <w:abstractNumId w:val="153557"/>
  </w:num>
  <w:num w:numId="80">
    <w:abstractNumId w:val="153558"/>
  </w:num>
  <w:num w:numId="81">
    <w:abstractNumId w:val="153559"/>
  </w:num>
  <w:num w:numId="82">
    <w:abstractNumId w:val="153560"/>
  </w:num>
  <w:num w:numId="83">
    <w:abstractNumId w:val="153561"/>
  </w:num>
  <w:num w:numId="84">
    <w:abstractNumId w:val="153562"/>
  </w:num>
  <w:num w:numId="85">
    <w:abstractNumId w:val="153563"/>
  </w:num>
  <w:num w:numId="86">
    <w:abstractNumId w:val="153564"/>
  </w:num>
  <w:num w:numId="87">
    <w:abstractNumId w:val="153565"/>
  </w:num>
  <w:num w:numId="88">
    <w:abstractNumId w:val="153566"/>
  </w:num>
  <w:num w:numId="89">
    <w:abstractNumId w:val="153567"/>
  </w:num>
  <w:num w:numId="90">
    <w:abstractNumId w:val="153568"/>
  </w:num>
  <w:num w:numId="91">
    <w:abstractNumId w:val="153569"/>
  </w:num>
  <w:num w:numId="92">
    <w:abstractNumId w:val="1535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learn.microsoft.com/zh-cn/dax/best-practices/dax-user-defined-functions" TargetMode="External" Type="http://schemas.openxmlformats.org/officeDocument/2006/relationships/hyperlink"/><Relationship Id="rId11" Target="https://learn.microsoft.com/zh-cn/analysis-services/tmsl/tabular-model-scripting-language-tmsl-reference?view=sql-analysis-services-2025" TargetMode="External" Type="http://schemas.openxmlformats.org/officeDocument/2006/relationships/hyperlink"/><Relationship Id="rId12" Target="https://learn.microsoft.com/zh-cn/dotnet/api/microsoft.analysisservices.tmdlserializer" TargetMode="External" Type="http://schemas.openxmlformats.org/officeDocument/2006/relationships/hyperlink"/><Relationship Id="rId13" Target="https://learn.microsoft.com/zh-cn/dotnet/api/microsoft.analysisservices.tabular" TargetMode="External" Type="http://schemas.openxmlformats.org/officeDocument/2006/relationships/hyperlink"/><Relationship Id="rId14" Target="https://learn.microsoft.com/zh-cn/analysis-services/tmdl/tmdl-how-to?view=sql-analysis-services-2025#get-a-tmdl-model-representation" TargetMode="External" Type="http://schemas.openxmlformats.org/officeDocument/2006/relationships/hyperlink"/><Relationship Id="rId15" Target="https://learn.microsoft.com/zh-cn/analysis-services/tmdl/tmdl-how-to?view=sql-analysis-services-2025#deploy-a-tmdl-model-representation" TargetMode="External" Type="http://schemas.openxmlformats.org/officeDocument/2006/relationships/hyperlink"/><Relationship Id="rId16" Target="https://learn.microsoft.com/zh-cn/analysis-services/tmdl/tmdl-how-to?view=sql-analysis-services-2025#object-text-serialization" TargetMode="External" Type="http://schemas.openxmlformats.org/officeDocument/2006/relationships/hyperlink"/><Relationship Id="rId17" Target="https://learn.microsoft.com/zh-cn/dotnet/api/microsoft.analysisservices.tabular.serialization.metadataserializationcontext" TargetMode="External" Type="http://schemas.openxmlformats.org/officeDocument/2006/relationships/hyperlink"/><Relationship Id="rId18" Target="https://learn.microsoft.com/zh-cn/analysis-services/tmdl/tmdl-how-to?view=sql-analysis-services-2025#stream-serialization" TargetMode="External" Type="http://schemas.openxmlformats.org/officeDocument/2006/relationships/hyperlink"/><Relationship Id="rId19" Target="https://learn.microsoft.com/zh-cn/dotnet/api/microsoft.analysisservices" TargetMode="External" Type="http://schemas.openxmlformats.org/officeDocument/2006/relationships/hyperlink"/><Relationship Id="rId2" Target="styles.xml" Type="http://schemas.openxmlformats.org/officeDocument/2006/relationships/styles"/><Relationship Id="rId20" Target="https://learn.microsoft.com/zh-cn/dotnet/api/microsoft.analysisservices.tabular.metadatapermission" TargetMode="External" Type="http://schemas.openxmlformats.org/officeDocument/2006/relationships/hyperlink"/><Relationship Id="rId21" Target="https://learn.microsoft.com/zh-cn/dotnet/api/microsoft.analysisservices.tabular.datasourcetype" TargetMode="External" Type="http://schemas.openxmlformats.org/officeDocument/2006/relationships/hyperlink"/><Relationship Id="rId22" Target="https://learn.microsoft.com/zh-cn/dotnet/api/microsoft.analysisservices.tabular.partitionsourcetype" TargetMode="External" Type="http://schemas.openxmlformats.org/officeDocument/2006/relationships/hyperlink"/><Relationship Id="rId23" Target="https://learn.microsoft.com/zh-cn/dotnet/api/microsoft.analysisservices.tabular.changedproperty.property#microsoft-analysisservices-tabular-changedproperty-property" TargetMode="External" Type="http://schemas.openxmlformats.org/officeDocument/2006/relationships/hyperlink"/><Relationship Id="rId24" Target="https://learn.microsoft.com/zh-cn/dotnet/api/microsoft.analysisservices.tabular.rolemembertype" TargetMode="External" Type="http://schemas.openxmlformats.org/officeDocument/2006/relationships/hyperlink"/><Relationship Id="rId25" Target="https://learn.microsoft.com/zh-cn/dotnet/csharp/programming-guide/classes-and-structs/partial-classes-and-methods" TargetMode="External" Type="http://schemas.openxmlformats.org/officeDocument/2006/relationships/hyperlink"/><Relationship Id="rId26" Target="https://learn.microsoft.com/zh-cn/analysis-services/tmdl/tmdl-how-to?view=sql-analysis-services-2025" TargetMode="External" Type="http://schemas.openxmlformats.org/officeDocument/2006/relationships/hyperlink"/><Relationship Id="rId27" Target="header1.xml" Type="http://schemas.openxmlformats.org/officeDocument/2006/relationships/header"/><Relationship Id="rId3" Target="footer1.xml" Type="http://schemas.openxmlformats.org/officeDocument/2006/relationships/footer"/><Relationship Id="rId4" Target="https://learn.microsoft.com/zh-cn/analysis-services/tmdl/tmdl-overview?view=sql-analysis-services-2025#tmdl-folder-structure" TargetMode="External" Type="http://schemas.openxmlformats.org/officeDocument/2006/relationships/hyperlink"/><Relationship Id="rId5" Target="https://www.feishu.cn/hc/zh-CN/articles/606278856233?from=in_ccm_clip_doc" TargetMode="External" Type="http://schemas.openxmlformats.org/officeDocument/2006/relationships/hyperlink"/><Relationship Id="rId6" Target="media/image1.png" Type="http://schemas.openxmlformats.org/officeDocument/2006/relationships/image"/><Relationship Id="rId7" Target="numbering.xml" Type="http://schemas.openxmlformats.org/officeDocument/2006/relationships/numbering"/><Relationship Id="rId8" Target="https://learn.microsoft.com/zh-cn/analysis-services/tom/introduction-to-the-tabular-object-model-tom-in-analysis-services-amo?view=sql-analysis-services-2025" TargetMode="External" Type="http://schemas.openxmlformats.org/officeDocument/2006/relationships/hyperlink"/><Relationship Id="rId9" Target="https://learn.microsoft.com/zh-cn/dax/best-practices/dax-user-defined-function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2025-11-11T00:43:57Z</dcterms:created>
  <dc:creator>Apache POI</dc:creator>
</cp:coreProperties>
</file>