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Power BI Desktop 项目报表文件夹 - Power BI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🔗 原文链接： 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https://learn.microsoft.com/zh-cn/p...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⏰ 剪存时间：2025-11-09 23:17:52 (UTC+8)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✂️ 本文档由 </w:t>
      </w:r>
      <w:hyperlink r:id="rId5">
        <w:r>
          <w:rPr>
            <w:rFonts w:eastAsia="等线" w:ascii="Arial" w:cs="Arial" w:hAnsi="Arial"/>
            <w:i w:val="true"/>
            <w:color w:val="3370ff"/>
            <w:sz w:val="22"/>
          </w:rPr>
          <w:t xml:space="preserve">飞书剪存 </w:t>
        </w:r>
      </w:hyperlink>
      <w:r>
        <w:rPr>
          <w:rFonts w:eastAsia="等线" w:ascii="Arial" w:cs="Arial" w:hAnsi="Arial"/>
          <w:i w:val="true"/>
          <w:color w:val="646a73"/>
          <w:sz w:val="22"/>
        </w:rPr>
        <w:t>一键生成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Power BI Desktop 项目目前为 </w:t>
      </w:r>
      <w:r>
        <w:rPr>
          <w:rFonts w:eastAsia="等线" w:ascii="Arial" w:cs="Arial" w:hAnsi="Arial"/>
          <w:b w:val="true"/>
          <w:sz w:val="22"/>
        </w:rPr>
        <w:t xml:space="preserve">预览版 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本文介绍 Microsoft Power BI Desktop 项目的“ </w:t>
      </w:r>
      <w:r>
        <w:rPr>
          <w:rFonts w:eastAsia="等线" w:ascii="Arial" w:cs="Arial" w:hAnsi="Arial"/>
          <w:b w:val="true"/>
          <w:sz w:val="22"/>
        </w:rPr>
        <w:t xml:space="preserve">报表 </w:t>
      </w:r>
      <w:r>
        <w:rPr>
          <w:rFonts w:eastAsia="等线" w:ascii="Arial" w:cs="Arial" w:hAnsi="Arial"/>
          <w:sz w:val="22"/>
        </w:rPr>
        <w:t>”文件夹中的文件和子文件夹。 这里的文件和子文件夹代表 Power BI 报表。 根据项目不同，报表文件夹可以包括：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.pbi\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localSettings.json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CustomVisuals\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StaticResources\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RegisteredResources\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semanticModelDiagramLayout.json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definition.pbir 1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mobileState.json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report.json 2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definition\ 文件夹 3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1 - 此文件是必需的。</w:t>
        <w:br/>
        <w:t>2 - 保存为 PBIR-Legacy 格式时需要此文件。</w:t>
        <w:br/>
      </w:r>
      <w:r>
        <w:rPr>
          <w:rFonts w:eastAsia="等线" w:ascii="Arial" w:cs="Arial" w:hAnsi="Arial"/>
          <w:sz w:val="22"/>
        </w:rPr>
        <w:t>3 - 保存为 PBIR 格式时需要此文件。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并非每个项目报表文件夹都包含文中介绍的所有文件和子文件夹。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报表文件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.pbi\localSettings.json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包含仅适用于当前用户和本地计算机的报表设置。 应包含在 gitIgnore 或其他源代码管理排除中。 默认情况下，Git 会忽略此文件。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有关详细信息，请参阅 </w:t>
      </w:r>
      <w:hyperlink r:id="rId7">
        <w:r>
          <w:rPr>
            <w:rFonts w:eastAsia="等线" w:ascii="Arial" w:cs="Arial" w:hAnsi="Arial"/>
            <w:color w:val="3370ff"/>
            <w:sz w:val="22"/>
          </w:rPr>
          <w:t xml:space="preserve">localSettings.json 架构文档 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CustomVisuals\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该子文件夹包含报表中的自定义视觉对象的元数据。 Power BI 支持三种类型的自定义视觉对象：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组织存储视觉对象 - 组织可以批准自定义视觉对象并将其部署到组织的 Power BI。 若要了解详细信息，请参阅 </w:t>
      </w:r>
      <w:hyperlink r:id="rId8">
        <w:r>
          <w:rPr>
            <w:rFonts w:eastAsia="等线" w:ascii="Arial" w:cs="Arial" w:hAnsi="Arial"/>
            <w:color w:val="3370ff"/>
            <w:sz w:val="22"/>
          </w:rPr>
          <w:t xml:space="preserve">组织存储 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AppSource Power BI 视觉对象 - 也称为“公共自定义视觉对象”。 这些视觉对象可从 Microsoft AppSource 中获取。 报表开发人员可以直接从 Power BI Desktop 安装这些视觉对象。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自定义视觉对象文件 - 也称为“专用自定义视觉对象”。 可以通过上传 pbiviz 包将文件加载到报表中。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只有专用自定义视觉对象才会加载到 CustomVisuals 文件夹中。 AppSource 和组织视觉对象将通过 Power BI Desktop 自动加载。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RegisteredResources\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该子文件夹包含特定于报表并由用户加载的资源文件，例如自定义主题、图像和自定义视觉对象（pbiviz 文件）。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开发人员负责管理此处的文件，并且支持更改。 例如，你可以更改文件，当 Power BI Desktop 重启后，新文件将加载到报表中。 此文件夹可以取消阻止一些有用的方案，例如：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使用公共架构在 Power BI Desktop 外部创作自定义主题。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通过更改多个报表上的资源文件来应用批量更改。 例如，可以切换公司的自定义主题、在浅色和深色主题之间更改，以及更改徽标图像。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每个资源文件都必须在 report.json 文件中有一个对应的条目，在 </w:t>
      </w:r>
      <w:r>
        <w:rPr>
          <w:rFonts w:eastAsia="等线" w:ascii="Arial" w:cs="Arial" w:hAnsi="Arial"/>
          <w:b w:val="true"/>
          <w:sz w:val="22"/>
        </w:rPr>
        <w:t xml:space="preserve">预览 </w:t>
      </w:r>
      <w:r>
        <w:rPr>
          <w:rFonts w:eastAsia="等线" w:ascii="Arial" w:cs="Arial" w:hAnsi="Arial"/>
          <w:sz w:val="22"/>
        </w:rPr>
        <w:t>期间，report.json 文件不支持编辑。 只有导致 Power BI Desktop 在 report.json 中注册资源的已加载资源才支持编辑 RegisteredResources 文件。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semanticModelDiagramLayout.json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包含数据模型关系图，它描述了与报表关联的语义模型的结构。 </w:t>
      </w:r>
      <w:r>
        <w:rPr>
          <w:rFonts w:eastAsia="等线" w:ascii="Arial" w:cs="Arial" w:hAnsi="Arial"/>
          <w:b w:val="true"/>
          <w:sz w:val="22"/>
        </w:rPr>
        <w:t xml:space="preserve">预览 </w:t>
      </w:r>
      <w:r>
        <w:rPr>
          <w:rFonts w:eastAsia="等线" w:ascii="Arial" w:cs="Arial" w:hAnsi="Arial"/>
          <w:sz w:val="22"/>
        </w:rPr>
        <w:t>期间，此文件不支持外部编辑。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definition.pbir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包含报表和核心设置的总体定义。 此文件还包含对报表使用的语义模型的引用。 Power BI Desktop 可以直接打开 PBIR 文件，就像从 PBIP 文件打开报表一样。 打开 PBIR 文件时，如果存在相对引用 </w:t>
      </w:r>
      <w:r>
        <w:rPr>
          <w:rFonts w:eastAsia="Consolas" w:ascii="Consolas" w:cs="Consolas" w:hAnsi="Consolas"/>
          <w:sz w:val="22"/>
          <w:shd w:fill="EFF0F1"/>
        </w:rPr>
        <w:t>byPath</w:t>
      </w:r>
      <w:r>
        <w:rPr>
          <w:rFonts w:eastAsia="等线" w:ascii="Arial" w:cs="Arial" w:hAnsi="Arial"/>
          <w:sz w:val="22"/>
        </w:rPr>
        <w:t xml:space="preserve"> ，会同时打开语义模型。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 definition.pbir：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 </w:t>
              <w:br/>
              <w:t xml:space="preserve">  "$schema": "https://developer.microsoft.com/json-schemas/fabric/item/report/definitionProperties/2.0.0/schema.json",</w:t>
              <w:br/>
              <w:t xml:space="preserve">  "version": "4.0",</w:t>
              <w:br/>
              <w:t xml:space="preserve">  "datasetReference": {</w:t>
              <w:br/>
              <w:t xml:space="preserve">    "byPath": {</w:t>
              <w:br/>
              <w:t xml:space="preserve">      "path": "../Sales.Dataset"</w:t>
              <w:br/>
              <w:t xml:space="preserve">    }    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定义包括 </w:t>
      </w:r>
      <w:r>
        <w:rPr>
          <w:rFonts w:eastAsia="Consolas" w:ascii="Consolas" w:cs="Consolas" w:hAnsi="Consolas"/>
          <w:sz w:val="22"/>
          <w:shd w:fill="EFF0F1"/>
        </w:rPr>
        <w:t>datasetReference</w:t>
      </w:r>
      <w:r>
        <w:rPr>
          <w:rFonts w:eastAsia="等线" w:ascii="Arial" w:cs="Arial" w:hAnsi="Arial"/>
          <w:sz w:val="22"/>
        </w:rPr>
        <w:t xml:space="preserve"> 属性，该属性引用报表中使用的语义模型。 引用可以是：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byPath</w:t>
      </w:r>
      <w:r>
        <w:rPr>
          <w:rFonts w:eastAsia="等线" w:ascii="Arial" w:cs="Arial" w:hAnsi="Arial"/>
          <w:sz w:val="22"/>
        </w:rPr>
        <w:t xml:space="preserve"> - 指定目标语义模型文件夹的相对路径。 不支持绝对路径。 使用正斜杠 (/) 作为文件夹分隔符。 使用时，Power BI Desktop 还会在完全编辑模式下打开语义模型。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byConnection</w:t>
      </w:r>
      <w:r>
        <w:rPr>
          <w:rFonts w:eastAsia="等线" w:ascii="Arial" w:cs="Arial" w:hAnsi="Arial"/>
          <w:sz w:val="22"/>
        </w:rPr>
        <w:t xml:space="preserve"> - 使用连接字符串指定与 Fabric 工作区中的语义模型的连接。 使用 </w:t>
      </w:r>
      <w:r>
        <w:rPr>
          <w:rFonts w:eastAsia="Consolas" w:ascii="Consolas" w:cs="Consolas" w:hAnsi="Consolas"/>
          <w:sz w:val="22"/>
          <w:shd w:fill="EFF0F1"/>
        </w:rPr>
        <w:t>byConnection</w:t>
      </w:r>
      <w:r>
        <w:rPr>
          <w:rFonts w:eastAsia="等线" w:ascii="Arial" w:cs="Arial" w:hAnsi="Arial"/>
          <w:sz w:val="22"/>
        </w:rPr>
        <w:t xml:space="preserve"> 引用时，Power BI Desktop 不会在编辑模式下打开语义模型。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 版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byConnection</w:t>
      </w:r>
      <w:r>
        <w:rPr>
          <w:rFonts w:eastAsia="等线" w:ascii="Arial" w:cs="Arial" w:hAnsi="Arial"/>
          <w:sz w:val="22"/>
        </w:rPr>
        <w:t xml:space="preserve"> 引用时，必须指定以下属性：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properties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connectionString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 Fabric 工作区中的语义模型的连接字符串。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byConnection</w:t>
      </w:r>
      <w:r>
        <w:rPr>
          <w:rFonts w:eastAsia="等线" w:ascii="Arial" w:cs="Arial" w:hAnsi="Arial"/>
          <w:sz w:val="22"/>
        </w:rPr>
        <w:t xml:space="preserve"> 的示例：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 </w:t>
              <w:br/>
              <w:t xml:space="preserve">  "$schema": "https://developer.microsoft.com/json-schemas/fabric/item/report/definitionProperties/2.0.0/schema.json",</w:t>
              <w:br/>
              <w:t xml:space="preserve">  "version": "4.0",</w:t>
              <w:br/>
              <w:t xml:space="preserve">  "datasetReference": {</w:t>
              <w:br/>
              <w:t xml:space="preserve">    "byConnection": {      </w:t>
              <w:br/>
              <w:t xml:space="preserve">      "connectionString": "Data Source=\"powerbi://api.powerbi.com/v1.0/myorg/[WorkpaceName]\";initial catalog=[SemanticModelName];access mode=readonly;integrated security=ClaimsToken;semanticmodelid=[SemanticModelId]"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hyperlink r:id="rId9">
        <w:r>
          <w:rPr>
            <w:rFonts w:eastAsia="等线" w:ascii="Arial" w:cs="Arial" w:hAnsi="Arial"/>
            <w:color w:val="3370ff"/>
            <w:sz w:val="22"/>
          </w:rPr>
          <w:t xml:space="preserve">Fabric REST API </w:t>
        </w:r>
      </w:hyperlink>
      <w:r>
        <w:rPr>
          <w:rFonts w:eastAsia="等线" w:ascii="Arial" w:cs="Arial" w:hAnsi="Arial"/>
          <w:sz w:val="22"/>
        </w:rPr>
        <w:t xml:space="preserve">部署报表时，只需指定 </w:t>
      </w:r>
      <w:r>
        <w:rPr>
          <w:rFonts w:eastAsia="Consolas" w:ascii="Consolas" w:cs="Consolas" w:hAnsi="Consolas"/>
          <w:sz w:val="22"/>
          <w:shd w:fill="EFF0F1"/>
        </w:rPr>
        <w:t>semanticmodelid</w:t>
      </w:r>
      <w:r>
        <w:rPr>
          <w:rFonts w:eastAsia="等线" w:ascii="Arial" w:cs="Arial" w:hAnsi="Arial"/>
          <w:sz w:val="22"/>
        </w:rPr>
        <w:t xml:space="preserve"> 属性。 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 </w:t>
              <w:br/>
              <w:t xml:space="preserve">  "$schema": "https://developer.microsoft.com/json-schemas/fabric/item/report/definitionProperties/2.0.0/schema.json",</w:t>
              <w:br/>
              <w:t xml:space="preserve">  "version": "4.0",</w:t>
              <w:br/>
              <w:t xml:space="preserve">  "datasetReference": {</w:t>
              <w:br/>
              <w:t xml:space="preserve">    "byConnection": {      </w:t>
              <w:br/>
              <w:t xml:space="preserve">      "connectionString": "semanticmodelid=[SemanticModelId]"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  <w:hyperlink r:id="rId10">
        <w:r>
          <w:rPr>
            <w:rFonts w:eastAsia="等线" w:ascii="Arial" w:cs="Arial" w:hAnsi="Arial"/>
            <w:color w:val="3370ff"/>
            <w:sz w:val="22"/>
          </w:rPr>
          <w:t xml:space="preserve">Fabric REST API </w:t>
        </w:r>
      </w:hyperlink>
      <w:r>
        <w:rPr>
          <w:rFonts w:eastAsia="等线" w:ascii="Arial" w:cs="Arial" w:hAnsi="Arial"/>
          <w:sz w:val="22"/>
        </w:rPr>
        <w:t xml:space="preserve">部署报表时，必须使用 </w:t>
      </w:r>
      <w:r>
        <w:rPr>
          <w:rFonts w:eastAsia="Consolas" w:ascii="Consolas" w:cs="Consolas" w:hAnsi="Consolas"/>
          <w:sz w:val="22"/>
          <w:shd w:fill="EFF0F1"/>
        </w:rPr>
        <w:t>byConnection</w:t>
      </w:r>
      <w:r>
        <w:rPr>
          <w:rFonts w:eastAsia="等线" w:ascii="Arial" w:cs="Arial" w:hAnsi="Arial"/>
          <w:sz w:val="22"/>
        </w:rPr>
        <w:t xml:space="preserve"> 引用。 这不应与语义模型的 </w:t>
      </w:r>
      <w:hyperlink r:id="rId11">
        <w:r>
          <w:rPr>
            <w:rFonts w:eastAsia="等线" w:ascii="Arial" w:cs="Arial" w:hAnsi="Arial"/>
            <w:color w:val="3370ff"/>
            <w:sz w:val="22"/>
          </w:rPr>
          <w:t xml:space="preserve">存储模式 </w:t>
        </w:r>
      </w:hyperlink>
      <w:r>
        <w:rPr>
          <w:rFonts w:eastAsia="等线" w:ascii="Arial" w:cs="Arial" w:hAnsi="Arial"/>
          <w:sz w:val="22"/>
        </w:rPr>
        <w:t xml:space="preserve">（如 DirectQuery）混淆。 报表 </w:t>
      </w:r>
      <w:r>
        <w:rPr>
          <w:rFonts w:eastAsia="Consolas" w:ascii="Consolas" w:cs="Consolas" w:hAnsi="Consolas"/>
          <w:sz w:val="22"/>
          <w:shd w:fill="EFF0F1"/>
        </w:rPr>
        <w:t>datasetReference</w:t>
      </w:r>
      <w:r>
        <w:rPr>
          <w:rFonts w:eastAsia="等线" w:ascii="Arial" w:cs="Arial" w:hAnsi="Arial"/>
          <w:sz w:val="22"/>
        </w:rPr>
        <w:t xml:space="preserve"> 中仅指定报表连接到的语义模型，它不定义该模型如何存储或访问其数据。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多个 *.pbir 文件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当语义模型和报表共享同一工作区时， </w:t>
      </w:r>
      <w:hyperlink r:id="rId12">
        <w:r>
          <w:rPr>
            <w:rFonts w:eastAsia="等线" w:ascii="Arial" w:cs="Arial" w:hAnsi="Arial"/>
            <w:color w:val="3370ff"/>
            <w:sz w:val="22"/>
          </w:rPr>
          <w:t xml:space="preserve">Fabric Git Integration </w:t>
        </w:r>
      </w:hyperlink>
      <w:r>
        <w:rPr>
          <w:rFonts w:eastAsia="等线" w:ascii="Arial" w:cs="Arial" w:hAnsi="Arial"/>
          <w:sz w:val="22"/>
        </w:rPr>
        <w:t xml:space="preserve">始终使用 </w:t>
      </w:r>
      <w:r>
        <w:rPr>
          <w:rFonts w:eastAsia="Consolas" w:ascii="Consolas" w:cs="Consolas" w:hAnsi="Consolas"/>
          <w:sz w:val="22"/>
          <w:shd w:fill="EFF0F1"/>
        </w:rPr>
        <w:t>byPath</w:t>
      </w:r>
      <w:r>
        <w:rPr>
          <w:rFonts w:eastAsia="等线" w:ascii="Arial" w:cs="Arial" w:hAnsi="Arial"/>
          <w:sz w:val="22"/>
        </w:rPr>
        <w:t xml:space="preserve"> 对语义模型的引用导出定义。 如果需要强制报表在实时连接中打开（例如在使用报表级度量值时），可以设置多个 definition*.pbir 文件，例如一个文件有 byPath 连接，另一个有 byConnection 连接。 Fabric Git 集成仅处理 </w:t>
      </w:r>
      <w:r>
        <w:rPr>
          <w:rFonts w:eastAsia="等线" w:ascii="Arial" w:cs="Arial" w:hAnsi="Arial"/>
          <w:i w:val="true"/>
          <w:sz w:val="22"/>
        </w:rPr>
        <w:t xml:space="preserve">definition.pbir </w:t>
      </w:r>
      <w:r>
        <w:rPr>
          <w:rFonts w:eastAsia="等线" w:ascii="Arial" w:cs="Arial" w:hAnsi="Arial"/>
          <w:sz w:val="22"/>
        </w:rPr>
        <w:t>文件，并忽略所有其他 *.pbir 文件。 但是，这些文件可以共存在同一存储库中。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├── definition\</w:t>
              <w:br/>
              <w:t xml:space="preserve">  ├── StaticResources\</w:t>
              <w:br/>
              <w:t xml:space="preserve">  ├── .platform</w:t>
              <w:br/>
              <w:t xml:space="preserve">  ├── definition-liveConnect.pbir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└── definition.pbir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该文件 </w:t>
      </w:r>
      <w:r>
        <w:rPr>
          <w:rFonts w:eastAsia="Consolas" w:ascii="Consolas" w:cs="Consolas" w:hAnsi="Consolas"/>
          <w:sz w:val="22"/>
          <w:shd w:fill="EFF0F1"/>
        </w:rPr>
        <w:t>definition.pbir</w:t>
      </w:r>
      <w:r>
        <w:rPr>
          <w:rFonts w:eastAsia="等线" w:ascii="Arial" w:cs="Arial" w:hAnsi="Arial"/>
          <w:sz w:val="22"/>
        </w:rPr>
        <w:t xml:space="preserve"> 还通过“version”属性指定支持的报表定义格式。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支持的格式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报表定义必须以 PBIR-Legacy 格式存储在 report.json 文件中。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 或更高版本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报表定义可以存储为 PBIR-Legacy（report.json 文件）或 PBIR （\definition 文件夹）。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有关详细信息，请参阅 </w:t>
      </w:r>
      <w:hyperlink r:id="rId13">
        <w:r>
          <w:rPr>
            <w:rFonts w:eastAsia="等线" w:ascii="Arial" w:cs="Arial" w:hAnsi="Arial"/>
            <w:color w:val="3370ff"/>
            <w:sz w:val="22"/>
          </w:rPr>
          <w:t xml:space="preserve">definition.pbir 架构文档 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mobileState.json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包含在移动设备上呈现时的报表外观和行为设置。 此文件不支持外部编辑。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report.json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此文件包含采用 Power BI 报表旧版格式 (PBIR-Legacy) 的报表定义，不支持外部编辑。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definition\ 文件夹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仅当 Power BI 项目使用 Power BI 增强型报表格式 (PBIR) 保存时，此文件夹才可用。 它将替换 report.json 文件。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平台中添加用户。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Fabric 平台文件，其中包含对于建立和维护 Fabric 项目与 Git 之间的连接至关重要的属性。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若要了解详细信息，请参阅 </w:t>
      </w:r>
      <w:hyperlink r:id="rId14">
        <w:r>
          <w:rPr>
            <w:rFonts w:eastAsia="等线" w:ascii="Arial" w:cs="Arial" w:hAnsi="Arial"/>
            <w:color w:val="3370ff"/>
            <w:sz w:val="22"/>
          </w:rPr>
          <w:t xml:space="preserve">Git 集成自动生成的系统文件 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PBIR 格式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Power BI 增强型报表格式 (PBIR) 保存 Power BI 项目文件 (PBIP) 可通过使用格式正确的 JSON 文件极大地改进更改跟踪和合并冲突解决。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每个页面、视觉对象、书签等组织到文件夹结构中的单独文件中。 此格式非常适合协同开发中的冲突解决。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914775" cy="6296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PBIR-Legacy (report.json) 不同，PBIR 是一种公开记录的格式，支持非 Power BI 应用程序的修改。 每个文件都有一个公共 JSON 架构，它不仅可以记录文件，还可以让代码编辑器（例如 Visual Studio Code）在编辑时执行语法验证。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目前可以使用 PBIR 的一些应用场景包括：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在报表之间复制页面/视觉对象/书签。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通过复制和粘贴视觉对象文件，确保所有页面的一组视觉对象的一致性。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在多个报表文件中轻松查找和替换。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使用脚本对所有视觉对象进行批量编辑（例如，隐藏视觉对象级别筛选器）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启用 PBIR 格式预览功能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目前，使用 PBIR 进行 Power BI 报表保存的功能正在预览阶段。 在使用它之前，必须先在 Power BI Desktop 预览功能中启用它：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Power BI 项目（PBIP）文件：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转到 </w:t>
      </w:r>
      <w:r>
        <w:rPr>
          <w:rFonts w:eastAsia="等线" w:ascii="Arial" w:cs="Arial" w:hAnsi="Arial"/>
          <w:b w:val="true"/>
          <w:sz w:val="22"/>
        </w:rPr>
        <w:t xml:space="preserve">“文件 &gt; 选项和设置 &gt; 选项 &gt; 预览功能” 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选中 </w:t>
      </w:r>
      <w:r>
        <w:rPr>
          <w:rFonts w:eastAsia="等线" w:ascii="Arial" w:cs="Arial" w:hAnsi="Arial"/>
          <w:b w:val="true"/>
          <w:sz w:val="22"/>
        </w:rPr>
        <w:t xml:space="preserve">“使用增强的元数据格式（PBIR）存储报表” </w:t>
      </w:r>
      <w:r>
        <w:rPr>
          <w:rFonts w:eastAsia="等线" w:ascii="Arial" w:cs="Arial" w:hAnsi="Arial"/>
          <w:sz w:val="22"/>
        </w:rPr>
        <w:t>复选框。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PBIX 文件：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转到 </w:t>
      </w:r>
      <w:r>
        <w:rPr>
          <w:rFonts w:eastAsia="等线" w:ascii="Arial" w:cs="Arial" w:hAnsi="Arial"/>
          <w:b w:val="true"/>
          <w:sz w:val="22"/>
        </w:rPr>
        <w:t xml:space="preserve">“文件 &gt; 选项和设置 &gt; 选项 &gt; 预览功能” 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选中 </w:t>
      </w:r>
      <w:r>
        <w:rPr>
          <w:rFonts w:eastAsia="等线" w:ascii="Arial" w:cs="Arial" w:hAnsi="Arial"/>
          <w:b w:val="true"/>
          <w:sz w:val="22"/>
        </w:rPr>
        <w:t xml:space="preserve">存储 PBIR 报表使用增强元数据格式 (PBIR) </w:t>
      </w:r>
      <w:r>
        <w:rPr>
          <w:rFonts w:eastAsia="等线" w:ascii="Arial" w:cs="Arial" w:hAnsi="Arial"/>
          <w:sz w:val="22"/>
        </w:rPr>
        <w:t>的复选框。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 PBIX 启用 PBIR 可确保 PBIR 格式也保存在 PBIX 文件中，而不仅仅是在 Power BI 项目 （PBIP） 文件中保存。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使用 PBIR 另存为项目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启用 PBIR 预览功能后，保存项目时，报表将保存在 </w:t>
      </w:r>
      <w:r>
        <w:rPr>
          <w:rFonts w:eastAsia="等线" w:ascii="Arial" w:cs="Arial" w:hAnsi="Arial"/>
          <w:i w:val="true"/>
          <w:sz w:val="22"/>
        </w:rPr>
        <w:t xml:space="preserve">报表文件夹 </w:t>
      </w:r>
      <w:r>
        <w:rPr>
          <w:rFonts w:eastAsia="等线" w:ascii="Arial" w:cs="Arial" w:hAnsi="Arial"/>
          <w:sz w:val="22"/>
        </w:rPr>
        <w:t>中名为 \definition 的文件夹中  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详细了解 PBIR 文件夹结构 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将现有报表转换为 PBIR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如果已有使用 PBIR-Legacy 格式的 PBIP，则可将其转换为 PBIR，如下所示：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Power BI Desktop 中打开 PBIP。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确保已启用该预览功能。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保存该项目。 出现提示，要求你升级到 PBIR。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选择“升级”。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715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2"/>
        </w:num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升级到 PBIR 后，无法从 UI 还原为 PBIR-Legacy。 若要还原为 PBIR-Legacy，请保存 PBIP 文件的副本。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在升级到 PBIR 之前，Power BI Desktop 会自动创建报表的备份。 此备份在以下位置之一中保留 30 天：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Microsoft应用商店版本： </w:t>
      </w:r>
      <w:r>
        <w:rPr>
          <w:rFonts w:eastAsia="Consolas" w:ascii="Consolas" w:cs="Consolas" w:hAnsi="Consolas"/>
          <w:sz w:val="22"/>
          <w:shd w:fill="EFF0F1"/>
        </w:rPr>
        <w:t>%USERPROFILE%\Microsoft\Power BI Desktop Store App\TempSaves\Backups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可执行安装程序版本： </w:t>
      </w:r>
      <w:r>
        <w:rPr>
          <w:rFonts w:eastAsia="Consolas" w:ascii="Consolas" w:cs="Consolas" w:hAnsi="Consolas"/>
          <w:sz w:val="22"/>
          <w:shd w:fill="EFF0F1"/>
        </w:rPr>
        <w:t>%USERPROFILE%\AppData\Local\Microsoft\Power BI Desktop\TempSaves\Backups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现有的 PBIR-Legacy 文件 (report.json) 将替换为包含报表 PBIR 表示形式的 \definition 文件夹  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如果选择 </w:t>
      </w:r>
      <w:r>
        <w:rPr>
          <w:rFonts w:eastAsia="等线" w:ascii="Arial" w:cs="Arial" w:hAnsi="Arial"/>
          <w:b w:val="true"/>
          <w:sz w:val="22"/>
        </w:rPr>
        <w:t xml:space="preserve">“保留当前 </w:t>
      </w:r>
      <w:r>
        <w:rPr>
          <w:rFonts w:eastAsia="等线" w:ascii="Arial" w:cs="Arial" w:hAnsi="Arial"/>
          <w:sz w:val="22"/>
        </w:rPr>
        <w:t>格式”，桌面不会再次提示升级。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PBIR 文件夹和文件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报表定义存储在具有以下结构的 </w:t>
      </w:r>
      <w:r>
        <w:rPr>
          <w:rFonts w:eastAsia="Consolas" w:ascii="Consolas" w:cs="Consolas" w:hAnsi="Consolas"/>
          <w:sz w:val="22"/>
          <w:shd w:fill="EFF0F1"/>
        </w:rPr>
        <w:t>definition\</w:t>
      </w:r>
      <w:r>
        <w:rPr>
          <w:rFonts w:eastAsia="等线" w:ascii="Arial" w:cs="Arial" w:hAnsi="Arial"/>
          <w:sz w:val="22"/>
        </w:rPr>
        <w:t xml:space="preserve"> 文件夹中：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├── bookmarks\</w:t>
              <w:br/>
              <w:t>│   ├── [bookmarkName].bookmark.json</w:t>
              <w:br/>
              <w:t>|   └── bookmarks.json</w:t>
              <w:br/>
              <w:t>├── pages\</w:t>
              <w:br/>
              <w:t>│   ├── [pageName]\</w:t>
              <w:br/>
              <w:t>│   |   ├── \visuals</w:t>
              <w:br/>
              <w:t>|   │   |   ├── [visualName]\</w:t>
              <w:br/>
              <w:t>|   |   │   │   |── mobile.json</w:t>
              <w:br/>
              <w:t>|   |   |   └   └── visual.json</w:t>
              <w:br/>
              <w:t>|   |   └── page.json</w:t>
              <w:br/>
              <w:t>|   └── pages.json</w:t>
              <w:br/>
              <w:t>├── version.json</w:t>
              <w:br/>
              <w:t>├── reportExtensions.json</w:t>
              <w:br/>
            </w:r>
            <w:r>
              <w:rPr>
                <w:rFonts w:eastAsia="Consolas" w:ascii="Consolas" w:cs="Consolas" w:hAnsi="Consolas"/>
                <w:sz w:val="22"/>
              </w:rPr>
              <w:t>└── report.json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文件/文件夹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书签\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包含报表的所有书签文件的文件夹。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[bookmarkName].bookmark.json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书签元数据，例如目标视觉对象和筛选器。</w:t>
              <w:br/>
            </w:r>
            <w:r>
              <w:rPr>
                <w:rFonts w:eastAsia="等线" w:ascii="Arial" w:cs="Arial" w:hAnsi="Arial"/>
                <w:sz w:val="22"/>
              </w:rPr>
              <w:t xml:space="preserve">有关详细信息，请参阅 </w:t>
            </w: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架构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bookmarks.json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书签元数据，例如书签顺序和组。</w:t>
              <w:br/>
            </w:r>
            <w:r>
              <w:rPr>
                <w:rFonts w:eastAsia="等线" w:ascii="Arial" w:cs="Arial" w:hAnsi="Arial"/>
                <w:sz w:val="22"/>
              </w:rPr>
              <w:t xml:space="preserve">有关详细信息，请参阅 </w:t>
            </w: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架构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页面\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包含报表的所有页面的文件夹。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── [pageName]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每页一个文件夹。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包含页面的所有视觉对象的文件夹。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────── [visualName]\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每个视觉对象一个文件夹。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──────── mobile.json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视觉对象移动布局元数据，例如移动位置和格式设置。</w:t>
              <w:br/>
            </w:r>
            <w:r>
              <w:rPr>
                <w:rFonts w:eastAsia="等线" w:ascii="Arial" w:cs="Arial" w:hAnsi="Arial"/>
                <w:sz w:val="22"/>
              </w:rPr>
              <w:t xml:space="preserve">有关详细信息，请参阅 </w:t>
            </w: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架构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─────── visual.json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视觉对象元数据，例如位置和格式、查询。</w:t>
              <w:br/>
            </w:r>
            <w:r>
              <w:rPr>
                <w:rFonts w:eastAsia="等线" w:ascii="Arial" w:cs="Arial" w:hAnsi="Arial"/>
                <w:sz w:val="22"/>
              </w:rPr>
              <w:t xml:space="preserve">有关详细信息，请参阅 </w:t>
            </w: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架构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page.json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页面元数据，例如页面级别筛选器和格式设置。</w:t>
              <w:br/>
            </w:r>
            <w:r>
              <w:rPr>
                <w:rFonts w:eastAsia="等线" w:ascii="Arial" w:cs="Arial" w:hAnsi="Arial"/>
                <w:sz w:val="22"/>
              </w:rPr>
              <w:t xml:space="preserve">有关详细信息，请参阅 </w:t>
            </w: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架构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pages.json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页面元数据，例如页面顺序和活动页。</w:t>
              <w:br/>
            </w:r>
            <w:r>
              <w:rPr>
                <w:rFonts w:eastAsia="等线" w:ascii="Arial" w:cs="Arial" w:hAnsi="Arial"/>
                <w:sz w:val="22"/>
              </w:rPr>
              <w:t xml:space="preserve">有关详细信息，请参阅 </w:t>
            </w: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架构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version.json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PBIR 文件版本以及其他因素决定了要加载的必需文件。</w:t>
              <w:br/>
            </w:r>
            <w:r>
              <w:rPr>
                <w:rFonts w:eastAsia="等线" w:ascii="Arial" w:cs="Arial" w:hAnsi="Arial"/>
                <w:sz w:val="22"/>
              </w:rPr>
              <w:t xml:space="preserve">有关详细信息，请参阅 </w:t>
            </w: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架构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reportExtensions.json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报表扩展，例如报表级别度量值。</w:t>
              <w:br/>
            </w:r>
            <w:r>
              <w:rPr>
                <w:rFonts w:eastAsia="等线" w:ascii="Arial" w:cs="Arial" w:hAnsi="Arial"/>
                <w:sz w:val="22"/>
              </w:rPr>
              <w:t xml:space="preserve">有关详细信息，请参阅 </w:t>
            </w: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架构</w:t>
              </w:r>
            </w:hyperlink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report.json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报表元数据，例如报表级别筛选器和格式设置。</w:t>
              <w:br/>
            </w:r>
            <w:r>
              <w:rPr>
                <w:rFonts w:eastAsia="等线" w:ascii="Arial" w:cs="Arial" w:hAnsi="Arial"/>
                <w:sz w:val="22"/>
              </w:rPr>
              <w:t xml:space="preserve">有关详细信息，请参阅 </w:t>
            </w: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架构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某些报表元数据文件（如 visual.json 或 bookmarks.json）可以使用语义模型中的数据值进行保存。 例如，如果将筛选器应用于字段“Company”= “Contoso”的视觉对象，则值“Contoso”将保留为元数据的一部分。 这也适用于其他配置，例如切片器选择、矩阵自定义列宽度和特定系列的格式设置。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PBIR 命名约定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上表中方括号（[]）中的所有名称都遵循默认命名约定，但可以重命名为更易用的名称。 默认情况下，页面、视觉对象和书签使用其报表对象名称作为其文件或文件夹名称。 这些对象名称最初是一个 20 个字符的唯一标识符，例如“90c2e07d8e84e7d5c026”。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支持重命名每个 JSON 文件中的“name”属性，但可能会破坏报表内外的外部引用。 对象名称和/或文件/文件夹名称必须包含一个或多个单词字符（字母、数字、下划线）或连字符。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重命名任何 PBIR 文件或文件夹后，必须重启 Power BI Desktop。 重启后，Power BI Desktop 将在保存时保留原始文件或文件夹名称。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复制报表对象名称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报表中的每个对象都保存在单独的文件夹或文件中，但文件夹的名称并不总是显而易见的。 为方便起见，可以直接将任何报表对象名称（包括页面、视觉对象、书签和筛选器）的名称从 Power BI 复制到剪贴板。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从桌面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从服务中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转到 </w:t>
      </w:r>
      <w:r>
        <w:rPr>
          <w:rFonts w:eastAsia="等线" w:ascii="Arial" w:cs="Arial" w:hAnsi="Arial"/>
          <w:b w:val="true"/>
          <w:sz w:val="22"/>
        </w:rPr>
        <w:t xml:space="preserve">“文件&gt;选项”和“设置报表设置&gt;&gt;”报表对象 </w:t>
      </w:r>
      <w:r>
        <w:rPr>
          <w:rFonts w:eastAsia="等线" w:ascii="Arial" w:cs="Arial" w:hAnsi="Arial"/>
          <w:sz w:val="22"/>
        </w:rPr>
        <w:t xml:space="preserve">“， </w:t>
      </w:r>
      <w:r>
        <w:rPr>
          <w:rFonts w:eastAsia="等线" w:ascii="Arial" w:cs="Arial" w:hAnsi="Arial"/>
          <w:i w:val="true"/>
          <w:sz w:val="22"/>
        </w:rPr>
        <w:t xml:space="preserve">并在右键单击报表对象设置时启用”复制对象名称 </w:t>
      </w:r>
      <w:r>
        <w:rPr>
          <w:rFonts w:eastAsia="等线" w:ascii="Arial" w:cs="Arial" w:hAnsi="Arial"/>
          <w:sz w:val="22"/>
        </w:rPr>
        <w:t>”。 此操作仅需执行一次。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2"/>
        </w:num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右键单击任何报表对象，然后选择 </w:t>
      </w:r>
      <w:r>
        <w:rPr>
          <w:rFonts w:eastAsia="等线" w:ascii="Arial" w:cs="Arial" w:hAnsi="Arial"/>
          <w:i w:val="true"/>
          <w:sz w:val="22"/>
        </w:rPr>
        <w:t xml:space="preserve">“复制对象名称 </w:t>
      </w:r>
      <w:r>
        <w:rPr>
          <w:rFonts w:eastAsia="等线" w:ascii="Arial" w:cs="Arial" w:hAnsi="Arial"/>
          <w:sz w:val="22"/>
        </w:rPr>
        <w:t>”。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5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将对象名称复制到剪贴板后，可以轻松地将其输入到 Windows 资源管理器或 Visual Studio Code 的搜索栏中，以查找或标识 PBIR 文件夹中的对象名称。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48225" cy="44577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PBIR Json 架构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 PBIR JSON 文件都包含文档顶部的 </w:t>
      </w:r>
      <w:hyperlink r:id="rId33">
        <w:r>
          <w:rPr>
            <w:rFonts w:eastAsia="等线" w:ascii="Arial" w:cs="Arial" w:hAnsi="Arial"/>
            <w:color w:val="3370ff"/>
            <w:sz w:val="22"/>
          </w:rPr>
          <w:t xml:space="preserve">JSON 架构 </w:t>
        </w:r>
      </w:hyperlink>
      <w:r>
        <w:rPr>
          <w:rFonts w:eastAsia="等线" w:ascii="Arial" w:cs="Arial" w:hAnsi="Arial"/>
          <w:sz w:val="22"/>
        </w:rPr>
        <w:t xml:space="preserve">声明。 此架构 URL 可公开访问，可用于详细了解每个文件的可用属性和对象。 此外，它还在使用 </w:t>
      </w:r>
      <w:hyperlink r:id="rId34">
        <w:r>
          <w:rPr>
            <w:rFonts w:eastAsia="等线" w:ascii="Arial" w:cs="Arial" w:hAnsi="Arial"/>
            <w:color w:val="3370ff"/>
            <w:sz w:val="22"/>
          </w:rPr>
          <w:t xml:space="preserve">Visual Studio Code </w:t>
        </w:r>
      </w:hyperlink>
      <w:r>
        <w:rPr>
          <w:rFonts w:eastAsia="等线" w:ascii="Arial" w:cs="Arial" w:hAnsi="Arial"/>
          <w:sz w:val="22"/>
        </w:rPr>
        <w:t>等代码编辑器进行编辑时提供内置的 IntelliSense 和验证。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811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 URL 还定义了文档的版本，该版本预计会随着报表定义的发展而变化。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 JSON 架构均在 </w:t>
      </w:r>
      <w:hyperlink r:id="rId36">
        <w:r>
          <w:rPr>
            <w:rFonts w:eastAsia="等线" w:ascii="Arial" w:cs="Arial" w:hAnsi="Arial"/>
            <w:color w:val="3370ff"/>
            <w:sz w:val="22"/>
          </w:rPr>
          <w:t xml:space="preserve">此处 </w:t>
        </w:r>
      </w:hyperlink>
      <w:r>
        <w:rPr>
          <w:rFonts w:eastAsia="等线" w:ascii="Arial" w:cs="Arial" w:hAnsi="Arial"/>
          <w:sz w:val="22"/>
        </w:rPr>
        <w:t>发布。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PBIR 批注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可以将批注作为名称/值对包含在每个 </w:t>
      </w:r>
      <w:r>
        <w:rPr>
          <w:rFonts w:eastAsia="Consolas" w:ascii="Consolas" w:cs="Consolas" w:hAnsi="Consolas"/>
          <w:sz w:val="22"/>
          <w:shd w:fill="EFF0F1"/>
        </w:rPr>
        <w:t>visual</w:t>
      </w:r>
      <w:r>
        <w:rPr>
          <w:rFonts w:eastAsia="等线" w:ascii="Arial" w:cs="Arial" w:hAnsi="Arial"/>
          <w:sz w:val="22"/>
        </w:rPr>
        <w:t xml:space="preserve"> 报表定义中， </w:t>
      </w:r>
      <w:r>
        <w:rPr>
          <w:rFonts w:eastAsia="Consolas" w:ascii="Consolas" w:cs="Consolas" w:hAnsi="Consolas"/>
          <w:sz w:val="22"/>
          <w:shd w:fill="EFF0F1"/>
        </w:rPr>
        <w:t>page</w:t>
      </w:r>
      <w:r>
        <w:rPr>
          <w:rFonts w:eastAsia="等线" w:ascii="Arial" w:cs="Arial" w:hAnsi="Arial"/>
          <w:sz w:val="22"/>
        </w:rPr>
        <w:t xml:space="preserve"> 以及 </w:t>
      </w:r>
      <w:r>
        <w:rPr>
          <w:rFonts w:eastAsia="Consolas" w:ascii="Consolas" w:cs="Consolas" w:hAnsi="Consolas"/>
          <w:sz w:val="22"/>
          <w:shd w:fill="EFF0F1"/>
        </w:rPr>
        <w:t>report</w:t>
      </w:r>
      <w:r>
        <w:rPr>
          <w:rFonts w:eastAsia="等线" w:ascii="Arial" w:cs="Arial" w:hAnsi="Arial"/>
          <w:sz w:val="22"/>
        </w:rPr>
        <w:t xml:space="preserve"> 。 虽然 Power BI Desktop 忽略这些批注，但它们对于外部应用程序（如脚本）非常有用。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例如，可以为文件中的报表 </w:t>
      </w:r>
      <w:r>
        <w:rPr>
          <w:rFonts w:eastAsia="Consolas" w:ascii="Consolas" w:cs="Consolas" w:hAnsi="Consolas"/>
          <w:sz w:val="22"/>
          <w:shd w:fill="EFF0F1"/>
        </w:rPr>
        <w:t>report.json</w:t>
      </w:r>
      <w:r>
        <w:rPr>
          <w:rFonts w:eastAsia="等线" w:ascii="Arial" w:cs="Arial" w:hAnsi="Arial"/>
          <w:sz w:val="22"/>
        </w:rPr>
        <w:t xml:space="preserve"> 指定 defaultPage，然后部署脚本就可以利用它。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"$schema": "https://developer.microsoft.com/json-schemas/fabric/item/report/definition/report/1.0.0/schema.json",</w:t>
              <w:br/>
              <w:t xml:space="preserve">  "themeCollection": {</w:t>
              <w:br/>
              <w:t xml:space="preserve">    "baseTheme": {</w:t>
              <w:br/>
              <w:t xml:space="preserve">      "name": "CY24SU06",</w:t>
              <w:br/>
              <w:t xml:space="preserve">      "reportVersionAtImport": "5.55",</w:t>
              <w:br/>
              <w:t xml:space="preserve">      "type": "SharedResources"</w:t>
              <w:br/>
              <w:t xml:space="preserve">    }</w:t>
              <w:br/>
              <w:t xml:space="preserve">  },</w:t>
              <w:br/>
              <w:t xml:space="preserve">  ...</w:t>
              <w:br/>
              <w:t xml:space="preserve">  "annotations": [</w:t>
              <w:br/>
              <w:t xml:space="preserve">    {</w:t>
              <w:br/>
              <w:t xml:space="preserve">      "name": "defaultPage",</w:t>
              <w:br/>
              <w:t xml:space="preserve">      "value": "c2d9b4b1487b2eb30e98"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对 PBIR 文件的外部更改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可以使用代码编辑器（例如 </w:t>
      </w:r>
      <w:hyperlink r:id="rId37">
        <w:r>
          <w:rPr>
            <w:rFonts w:eastAsia="等线" w:ascii="Arial" w:cs="Arial" w:hAnsi="Arial"/>
            <w:color w:val="3370ff"/>
            <w:sz w:val="22"/>
          </w:rPr>
          <w:t xml:space="preserve">Visual Studio Code </w:t>
        </w:r>
      </w:hyperlink>
      <w:r>
        <w:rPr>
          <w:rFonts w:eastAsia="等线" w:ascii="Arial" w:cs="Arial" w:hAnsi="Arial"/>
          <w:sz w:val="22"/>
        </w:rPr>
        <w:t>或外部工具）编辑 PBIR JSON 文件，只要该文件遵循 JSON 架构。 可以直接在 Visual Studio Code 中轻松检测到使用错误的属性名称或类型：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PBIR 内容的外部更改可能会导致在 Power BI Desktop 中重新打开文件时出现错误。 这些错误可以是两种类型：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“阻止错误”阻止 Power BI Desktop 打开报表  。 这些错误有助于识别问题以及重新打开之前必须修复的问题文件：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无效架构或缺少必需的属性等错误被视为阻止错误。 通过在 Visual Studio Code 中打开文件并检查架构错误，可以轻松识别这些错误。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“非阻止错误”不会阻止 Power BI Desktop 打开报表并自动解决 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无效 activePageName 配置等错误是可以自动修复的非阻止错误的示例  。 警告很有必要，可让你有机会避免使用自动修复保存报表，从而防止任何潜在的工作损失。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常见 PBIR 错误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场景： </w:t>
      </w:r>
      <w:r>
        <w:rPr>
          <w:rFonts w:eastAsia="等线" w:ascii="Arial" w:cs="Arial" w:hAnsi="Arial"/>
          <w:i w:val="true"/>
          <w:sz w:val="22"/>
        </w:rPr>
        <w:t>重命名视觉对象或页面文件夹名称后，打开报表时不再显示视觉对象或页面。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解决方案：验证名称是否符合 </w:t>
      </w:r>
      <w:r>
        <w:rPr>
          <w:rFonts w:eastAsia="等线" w:ascii="Arial" w:cs="Arial" w:hAnsi="Arial"/>
          <w:b w:val="true"/>
          <w:sz w:val="22"/>
        </w:rPr>
        <w:t xml:space="preserve">命名约定 </w:t>
      </w:r>
      <w:r>
        <w:rPr>
          <w:rFonts w:eastAsia="等线" w:ascii="Arial" w:cs="Arial" w:hAnsi="Arial"/>
          <w:sz w:val="22"/>
        </w:rPr>
        <w:t xml:space="preserve"> 。 如果不符合，Power BI Desktop 将忽略文件或文件夹，并将其视为专用用户文件。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场景： </w:t>
      </w:r>
      <w:r>
        <w:rPr>
          <w:rFonts w:eastAsia="等线" w:ascii="Arial" w:cs="Arial" w:hAnsi="Arial"/>
          <w:i w:val="true"/>
          <w:sz w:val="22"/>
        </w:rPr>
        <w:t>新报表对象的名称与其他报表对象不同。例如，大多数页面文件夹都名为“ReportSection0e71dafbc949c0853608”，而少数文件夹名为“1b3c2ab12b603618070b”。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解决方案：PBIR 为每个对象采用了新的 </w:t>
      </w:r>
      <w:r>
        <w:rPr>
          <w:rFonts w:eastAsia="等线" w:ascii="Arial" w:cs="Arial" w:hAnsi="Arial"/>
          <w:b w:val="true"/>
          <w:sz w:val="22"/>
        </w:rPr>
        <w:t xml:space="preserve">命名约定 </w:t>
      </w:r>
      <w:r>
        <w:rPr>
          <w:rFonts w:eastAsia="等线" w:ascii="Arial" w:cs="Arial" w:hAnsi="Arial"/>
          <w:sz w:val="22"/>
        </w:rPr>
        <w:t>，但它仅适用于新对象  。 将现有报表保存为 PBIP 时，必须保留当前名称以防止中断引用。 如果需要保持一致性，则允许使用脚本批量重命名。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场景： </w:t>
      </w:r>
      <w:r>
        <w:rPr>
          <w:rFonts w:eastAsia="等线" w:ascii="Arial" w:cs="Arial" w:hAnsi="Arial"/>
          <w:i w:val="true"/>
          <w:sz w:val="22"/>
        </w:rPr>
        <w:t>我复制了书签文件，保存后，删除了大部分书签配置。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解决方案：此行为是故意如此，报表书签捕获报表页的状态及其所有视觉对象  。 由于捕获的状态源自具有不同视觉对象的另一个报表页，因此任何无效的视觉对象都会从书签配置中删除。 如果还复制依赖视觉对象和页面，书签将维护其配置。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场景： </w:t>
      </w:r>
      <w:r>
        <w:rPr>
          <w:rFonts w:eastAsia="等线" w:ascii="Arial" w:cs="Arial" w:hAnsi="Arial"/>
          <w:i w:val="true"/>
          <w:sz w:val="22"/>
        </w:rPr>
        <w:t>我从另一个报表复制了一个页面文件夹，并遇到一个错误，指出“'pageBinding.name'属性的值必须是唯一的。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解决方案：要支持钻取和页面工具提示，必须具有 pageBinding 对象。  由于它们可能由其他页面引用，因此名称在报表中必须是唯一的。 在新复制的页面上，分配一个唯一值来解决错误。 2024 年 6 月之后，这种情况不再是问题，因为 pageBinding 名称将默认是 GUID。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PBIR 注意事项和限制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PBIR 当前处于预览状态。  请记住以下几点：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 500 多个文件的大型报表可能会遇到创作性能问题（报表查看不受影响）。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将报表从 PBIR-Legacy 转换为 PBIR 后，无法回滚。 虽然备份是在转换时创建的。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使用“另存为”功能将 PBIP 文件转换为 PBIX 文件会将 PBIR 报表嵌入 PBIX 文件中，并将所有 PBIR 限制都传递给 PBIX。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只有在编辑报表时筛选器窗格至少展开一次后， </w:t>
      </w:r>
      <w:hyperlink r:id="rId41">
        <w:r>
          <w:rPr>
            <w:rFonts w:eastAsia="等线" w:ascii="Arial" w:cs="Arial" w:hAnsi="Arial"/>
            <w:color w:val="3370ff"/>
            <w:sz w:val="22"/>
          </w:rPr>
          <w:t xml:space="preserve">视觉自动筛选器 </w:t>
        </w:r>
      </w:hyperlink>
      <w:r>
        <w:rPr>
          <w:rFonts w:eastAsia="等线" w:ascii="Arial" w:cs="Arial" w:hAnsi="Arial"/>
          <w:sz w:val="22"/>
        </w:rPr>
        <w:t xml:space="preserve">才会保存到 PBIR </w:t>
      </w:r>
      <w:r>
        <w:rPr>
          <w:rFonts w:eastAsia="Consolas" w:ascii="Consolas" w:cs="Consolas" w:hAnsi="Consolas"/>
          <w:sz w:val="22"/>
          <w:shd w:fill="EFF0F1"/>
        </w:rPr>
        <w:t>visual.json</w:t>
      </w:r>
      <w:r>
        <w:rPr>
          <w:rFonts w:eastAsia="等线" w:ascii="Arial" w:cs="Arial" w:hAnsi="Arial"/>
          <w:sz w:val="22"/>
        </w:rPr>
        <w:t xml:space="preserve"> 文件中。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服务强制实施的 PBIR 大小限制：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每个报表最多 1,000 页。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每个页面的最大视觉对象数为 1000。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每个报表最多 1,000 个资源包文件。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所有资源包文件的最大大小为 300 mb。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所有报表文件的最大大小为 300 mb。</w:t>
      </w:r>
    </w:p>
    <w:p>
      <w:pPr>
        <w:spacing w:before="120" w:after="120" w:line="288" w:lineRule="auto"/>
        <w:ind w:left="0"/>
        <w:jc w:val="left"/>
      </w:pPr>
      <w:hyperlink r:id="rId42">
        <w:r>
          <w:rPr>
            <w:rFonts w:eastAsia="等线" w:ascii="Arial" w:cs="Arial" w:hAnsi="Arial"/>
            <w:color w:val="3370ff"/>
            <w:sz w:val="22"/>
          </w:rPr>
          <w:t xml:space="preserve">Fabric Git 集成 </w:t>
        </w:r>
      </w:hyperlink>
      <w:r>
        <w:rPr>
          <w:rFonts w:eastAsia="等线" w:ascii="Arial" w:cs="Arial" w:hAnsi="Arial"/>
          <w:sz w:val="22"/>
        </w:rPr>
        <w:t xml:space="preserve">和 </w:t>
      </w:r>
      <w:hyperlink r:id="rId43">
        <w:r>
          <w:rPr>
            <w:rFonts w:eastAsia="等线" w:ascii="Arial" w:cs="Arial" w:hAnsi="Arial"/>
            <w:color w:val="3370ff"/>
            <w:sz w:val="22"/>
          </w:rPr>
          <w:t xml:space="preserve">Fabric REST API </w:t>
        </w:r>
      </w:hyperlink>
      <w:r>
        <w:rPr>
          <w:rFonts w:eastAsia="等线" w:ascii="Arial" w:cs="Arial" w:hAnsi="Arial"/>
          <w:sz w:val="22"/>
        </w:rPr>
        <w:t>使用服务中当前应用的格式导出报表。 如果使用 PBIR 格式创建或导入到 Fabric 中的报表，则会以 PBIR 格式导出报表。 同样，如果报表为 PBIR-Legacy，则会以 PBIR-Legacy 格式导出报表。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相关内容</w:t>
      </w:r>
      <w:bookmarkEnd w:id="23"/>
    </w:p>
    <w:p>
      <w:pPr>
        <w:numPr>
          <w:numId w:val="55"/>
        </w:numPr>
        <w:spacing w:before="120" w:after="120" w:line="288" w:lineRule="auto"/>
        <w:ind w:left="0"/>
        <w:jc w:val="left"/>
      </w:pPr>
      <w:hyperlink r:id="rId44">
        <w:r>
          <w:rPr>
            <w:rFonts w:eastAsia="等线" w:ascii="Arial" w:cs="Arial" w:hAnsi="Arial"/>
            <w:color w:val="3370ff"/>
            <w:sz w:val="22"/>
          </w:rPr>
          <w:t>Power BI Desktop 项目语义模型文件夹</w:t>
        </w:r>
      </w:hyperlink>
    </w:p>
    <w:p>
      <w:pPr>
        <w:numPr>
          <w:numId w:val="56"/>
        </w:numPr>
        <w:spacing w:before="120" w:after="120" w:line="288" w:lineRule="auto"/>
        <w:ind w:left="0"/>
        <w:jc w:val="left"/>
      </w:pPr>
      <w:hyperlink r:id="rId45">
        <w:r>
          <w:rPr>
            <w:rFonts w:eastAsia="等线" w:ascii="Arial" w:cs="Arial" w:hAnsi="Arial"/>
            <w:color w:val="3370ff"/>
            <w:sz w:val="22"/>
          </w:rPr>
          <w:t>Power BI Desktop 项目</w:t>
        </w:r>
      </w:hyperlink>
    </w:p>
    <w:sectPr>
      <w:footerReference w:type="default" r:id="rId3"/>
      <w:headerReference w:type="default" r:id="rId4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7516">
    <w:lvl>
      <w:numFmt w:val="bullet"/>
      <w:suff w:val="tab"/>
      <w:lvlText w:val="•"/>
      <w:rPr>
        <w:color w:val="3370ff"/>
      </w:rPr>
    </w:lvl>
  </w:abstractNum>
  <w:abstractNum w:abstractNumId="287517">
    <w:lvl>
      <w:numFmt w:val="bullet"/>
      <w:suff w:val="tab"/>
      <w:lvlText w:val="￮"/>
      <w:rPr>
        <w:color w:val="3370ff"/>
      </w:rPr>
    </w:lvl>
  </w:abstractNum>
  <w:abstractNum w:abstractNumId="287518">
    <w:lvl>
      <w:numFmt w:val="bullet"/>
      <w:suff w:val="tab"/>
      <w:lvlText w:val="•"/>
      <w:rPr>
        <w:color w:val="3370ff"/>
      </w:rPr>
    </w:lvl>
  </w:abstractNum>
  <w:abstractNum w:abstractNumId="287519">
    <w:lvl>
      <w:numFmt w:val="bullet"/>
      <w:suff w:val="tab"/>
      <w:lvlText w:val="•"/>
      <w:rPr>
        <w:color w:val="3370ff"/>
      </w:rPr>
    </w:lvl>
  </w:abstractNum>
  <w:abstractNum w:abstractNumId="287520">
    <w:lvl>
      <w:numFmt w:val="bullet"/>
      <w:suff w:val="tab"/>
      <w:lvlText w:val="￮"/>
      <w:rPr>
        <w:color w:val="3370ff"/>
      </w:rPr>
    </w:lvl>
  </w:abstractNum>
  <w:abstractNum w:abstractNumId="287521">
    <w:lvl>
      <w:numFmt w:val="bullet"/>
      <w:suff w:val="tab"/>
      <w:lvlText w:val="•"/>
      <w:rPr>
        <w:color w:val="3370ff"/>
      </w:rPr>
    </w:lvl>
  </w:abstractNum>
  <w:abstractNum w:abstractNumId="287522">
    <w:lvl>
      <w:numFmt w:val="bullet"/>
      <w:suff w:val="tab"/>
      <w:lvlText w:val="•"/>
      <w:rPr>
        <w:color w:val="3370ff"/>
      </w:rPr>
    </w:lvl>
  </w:abstractNum>
  <w:abstractNum w:abstractNumId="287523">
    <w:lvl>
      <w:numFmt w:val="bullet"/>
      <w:suff w:val="tab"/>
      <w:lvlText w:val="•"/>
      <w:rPr>
        <w:color w:val="3370ff"/>
      </w:rPr>
    </w:lvl>
  </w:abstractNum>
  <w:abstractNum w:abstractNumId="287524">
    <w:lvl>
      <w:numFmt w:val="bullet"/>
      <w:suff w:val="tab"/>
      <w:lvlText w:val="•"/>
      <w:rPr>
        <w:color w:val="3370ff"/>
      </w:rPr>
    </w:lvl>
  </w:abstractNum>
  <w:abstractNum w:abstractNumId="287525">
    <w:lvl>
      <w:numFmt w:val="bullet"/>
      <w:suff w:val="tab"/>
      <w:lvlText w:val="•"/>
      <w:rPr>
        <w:color w:val="3370ff"/>
      </w:rPr>
    </w:lvl>
  </w:abstractNum>
  <w:abstractNum w:abstractNumId="287526">
    <w:lvl>
      <w:numFmt w:val="bullet"/>
      <w:suff w:val="tab"/>
      <w:lvlText w:val="•"/>
      <w:rPr>
        <w:color w:val="3370ff"/>
      </w:rPr>
    </w:lvl>
  </w:abstractNum>
  <w:abstractNum w:abstractNumId="287527">
    <w:lvl>
      <w:numFmt w:val="bullet"/>
      <w:suff w:val="tab"/>
      <w:lvlText w:val="•"/>
      <w:rPr>
        <w:color w:val="3370ff"/>
      </w:rPr>
    </w:lvl>
  </w:abstractNum>
  <w:abstractNum w:abstractNumId="287528">
    <w:lvl>
      <w:numFmt w:val="bullet"/>
      <w:suff w:val="tab"/>
      <w:lvlText w:val="•"/>
      <w:rPr>
        <w:color w:val="3370ff"/>
      </w:rPr>
    </w:lvl>
  </w:abstractNum>
  <w:abstractNum w:abstractNumId="287529">
    <w:lvl>
      <w:numFmt w:val="bullet"/>
      <w:suff w:val="tab"/>
      <w:lvlText w:val="•"/>
      <w:rPr>
        <w:color w:val="3370ff"/>
      </w:rPr>
    </w:lvl>
  </w:abstractNum>
  <w:abstractNum w:abstractNumId="287530">
    <w:lvl>
      <w:numFmt w:val="bullet"/>
      <w:suff w:val="tab"/>
      <w:lvlText w:val="•"/>
      <w:rPr>
        <w:color w:val="3370ff"/>
      </w:rPr>
    </w:lvl>
  </w:abstractNum>
  <w:abstractNum w:abstractNumId="287531">
    <w:lvl>
      <w:numFmt w:val="bullet"/>
      <w:suff w:val="tab"/>
      <w:lvlText w:val="•"/>
      <w:rPr>
        <w:color w:val="3370ff"/>
      </w:rPr>
    </w:lvl>
  </w:abstractNum>
  <w:abstractNum w:abstractNumId="287532">
    <w:lvl>
      <w:numFmt w:val="bullet"/>
      <w:suff w:val="tab"/>
      <w:lvlText w:val="•"/>
      <w:rPr>
        <w:color w:val="3370ff"/>
      </w:rPr>
    </w:lvl>
  </w:abstractNum>
  <w:abstractNum w:abstractNumId="287533">
    <w:lvl>
      <w:numFmt w:val="bullet"/>
      <w:suff w:val="tab"/>
      <w:lvlText w:val="•"/>
      <w:rPr>
        <w:color w:val="3370ff"/>
      </w:rPr>
    </w:lvl>
  </w:abstractNum>
  <w:abstractNum w:abstractNumId="287534">
    <w:lvl>
      <w:numFmt w:val="bullet"/>
      <w:suff w:val="tab"/>
      <w:lvlText w:val="•"/>
      <w:rPr>
        <w:color w:val="3370ff"/>
      </w:rPr>
    </w:lvl>
  </w:abstractNum>
  <w:abstractNum w:abstractNumId="287535">
    <w:lvl>
      <w:numFmt w:val="bullet"/>
      <w:suff w:val="tab"/>
      <w:lvlText w:val="•"/>
      <w:rPr>
        <w:color w:val="3370ff"/>
      </w:rPr>
    </w:lvl>
  </w:abstractNum>
  <w:abstractNum w:abstractNumId="287536">
    <w:lvl>
      <w:numFmt w:val="bullet"/>
      <w:suff w:val="tab"/>
      <w:lvlText w:val="•"/>
      <w:rPr>
        <w:color w:val="3370ff"/>
      </w:rPr>
    </w:lvl>
  </w:abstractNum>
  <w:abstractNum w:abstractNumId="287537">
    <w:lvl>
      <w:numFmt w:val="bullet"/>
      <w:suff w:val="tab"/>
      <w:lvlText w:val="•"/>
      <w:rPr>
        <w:color w:val="3370ff"/>
      </w:rPr>
    </w:lvl>
  </w:abstractNum>
  <w:abstractNum w:abstractNumId="287538">
    <w:lvl>
      <w:start w:val="1"/>
      <w:numFmt w:val="decimal"/>
      <w:suff w:val="tab"/>
      <w:lvlText w:val="%1."/>
      <w:rPr>
        <w:color w:val="3370ff"/>
      </w:rPr>
    </w:lvl>
  </w:abstractNum>
  <w:abstractNum w:abstractNumId="287539">
    <w:lvl>
      <w:start w:val="2"/>
      <w:numFmt w:val="decimal"/>
      <w:suff w:val="tab"/>
      <w:lvlText w:val="%1."/>
      <w:rPr>
        <w:color w:val="3370ff"/>
      </w:rPr>
    </w:lvl>
  </w:abstractNum>
  <w:abstractNum w:abstractNumId="287540">
    <w:lvl>
      <w:start w:val="1"/>
      <w:numFmt w:val="decimal"/>
      <w:suff w:val="tab"/>
      <w:lvlText w:val="%1."/>
      <w:rPr>
        <w:color w:val="3370ff"/>
      </w:rPr>
    </w:lvl>
  </w:abstractNum>
  <w:abstractNum w:abstractNumId="287541">
    <w:lvl>
      <w:start w:val="2"/>
      <w:numFmt w:val="decimal"/>
      <w:suff w:val="tab"/>
      <w:lvlText w:val="%1."/>
      <w:rPr>
        <w:color w:val="3370ff"/>
      </w:rPr>
    </w:lvl>
  </w:abstractNum>
  <w:abstractNum w:abstractNumId="287542">
    <w:lvl>
      <w:start w:val="1"/>
      <w:numFmt w:val="decimal"/>
      <w:suff w:val="tab"/>
      <w:lvlText w:val="%1."/>
      <w:rPr>
        <w:color w:val="3370ff"/>
      </w:rPr>
    </w:lvl>
  </w:abstractNum>
  <w:abstractNum w:abstractNumId="287543">
    <w:lvl>
      <w:start w:val="2"/>
      <w:numFmt w:val="decimal"/>
      <w:suff w:val="tab"/>
      <w:lvlText w:val="%1."/>
      <w:rPr>
        <w:color w:val="3370ff"/>
      </w:rPr>
    </w:lvl>
  </w:abstractNum>
  <w:abstractNum w:abstractNumId="287544">
    <w:lvl>
      <w:start w:val="3"/>
      <w:numFmt w:val="decimal"/>
      <w:suff w:val="tab"/>
      <w:lvlText w:val="%1."/>
      <w:rPr>
        <w:color w:val="3370ff"/>
      </w:rPr>
    </w:lvl>
  </w:abstractNum>
  <w:abstractNum w:abstractNumId="287545">
    <w:lvl>
      <w:start w:val="4"/>
      <w:numFmt w:val="decimal"/>
      <w:suff w:val="tab"/>
      <w:lvlText w:val="%1."/>
      <w:rPr>
        <w:color w:val="3370ff"/>
      </w:rPr>
    </w:lvl>
  </w:abstractNum>
  <w:abstractNum w:abstractNumId="287546">
    <w:lvl>
      <w:start w:val="5"/>
      <w:numFmt w:val="decimal"/>
      <w:suff w:val="tab"/>
      <w:lvlText w:val="%1."/>
      <w:rPr>
        <w:color w:val="3370ff"/>
      </w:rPr>
    </w:lvl>
  </w:abstractNum>
  <w:abstractNum w:abstractNumId="287547">
    <w:lvl>
      <w:start w:val="1"/>
      <w:numFmt w:val="decimal"/>
      <w:suff w:val="tab"/>
      <w:lvlText w:val="%1."/>
      <w:rPr>
        <w:color w:val="3370ff"/>
      </w:rPr>
    </w:lvl>
  </w:abstractNum>
  <w:abstractNum w:abstractNumId="287548">
    <w:lvl>
      <w:start w:val="2"/>
      <w:numFmt w:val="decimal"/>
      <w:suff w:val="tab"/>
      <w:lvlText w:val="%1."/>
      <w:rPr>
        <w:color w:val="3370ff"/>
      </w:rPr>
    </w:lvl>
  </w:abstractNum>
  <w:abstractNum w:abstractNumId="287549">
    <w:lvl>
      <w:start w:val="3"/>
      <w:numFmt w:val="decimal"/>
      <w:suff w:val="tab"/>
      <w:lvlText w:val="%1."/>
      <w:rPr>
        <w:color w:val="3370ff"/>
      </w:rPr>
    </w:lvl>
  </w:abstractNum>
  <w:abstractNum w:abstractNumId="287550">
    <w:lvl>
      <w:start w:val="4"/>
      <w:numFmt w:val="decimal"/>
      <w:suff w:val="tab"/>
      <w:lvlText w:val="%1."/>
      <w:rPr>
        <w:color w:val="3370ff"/>
      </w:rPr>
    </w:lvl>
  </w:abstractNum>
  <w:abstractNum w:abstractNumId="287551">
    <w:lvl>
      <w:numFmt w:val="bullet"/>
      <w:suff w:val="tab"/>
      <w:lvlText w:val="￮"/>
      <w:rPr>
        <w:color w:val="3370ff"/>
      </w:rPr>
    </w:lvl>
  </w:abstractNum>
  <w:abstractNum w:abstractNumId="287552">
    <w:lvl>
      <w:numFmt w:val="bullet"/>
      <w:suff w:val="tab"/>
      <w:lvlText w:val="￮"/>
      <w:rPr>
        <w:color w:val="3370ff"/>
      </w:rPr>
    </w:lvl>
  </w:abstractNum>
  <w:abstractNum w:abstractNumId="287553">
    <w:lvl>
      <w:numFmt w:val="bullet"/>
      <w:suff w:val="tab"/>
      <w:lvlText w:val="•"/>
      <w:rPr>
        <w:color w:val="3370ff"/>
      </w:rPr>
    </w:lvl>
  </w:abstractNum>
  <w:abstractNum w:abstractNumId="287554">
    <w:lvl>
      <w:numFmt w:val="bullet"/>
      <w:suff w:val="tab"/>
      <w:lvlText w:val="•"/>
      <w:rPr>
        <w:color w:val="3370ff"/>
      </w:rPr>
    </w:lvl>
  </w:abstractNum>
  <w:abstractNum w:abstractNumId="287555">
    <w:lvl>
      <w:start w:val="1"/>
      <w:numFmt w:val="decimal"/>
      <w:suff w:val="tab"/>
      <w:lvlText w:val="%1."/>
      <w:rPr>
        <w:color w:val="3370ff"/>
      </w:rPr>
    </w:lvl>
  </w:abstractNum>
  <w:abstractNum w:abstractNumId="287556">
    <w:lvl>
      <w:start w:val="2"/>
      <w:numFmt w:val="decimal"/>
      <w:suff w:val="tab"/>
      <w:lvlText w:val="%1."/>
      <w:rPr>
        <w:color w:val="3370ff"/>
      </w:rPr>
    </w:lvl>
  </w:abstractNum>
  <w:abstractNum w:abstractNumId="287557">
    <w:lvl>
      <w:start w:val="1"/>
      <w:numFmt w:val="decimal"/>
      <w:suff w:val="tab"/>
      <w:lvlText w:val="%1."/>
      <w:rPr>
        <w:color w:val="3370ff"/>
      </w:rPr>
    </w:lvl>
  </w:abstractNum>
  <w:abstractNum w:abstractNumId="287558">
    <w:lvl>
      <w:start w:val="2"/>
      <w:numFmt w:val="decimal"/>
      <w:suff w:val="tab"/>
      <w:lvlText w:val="%1."/>
      <w:rPr>
        <w:color w:val="3370ff"/>
      </w:rPr>
    </w:lvl>
  </w:abstractNum>
  <w:abstractNum w:abstractNumId="287559">
    <w:lvl>
      <w:start w:val="3"/>
      <w:numFmt w:val="decimal"/>
      <w:suff w:val="tab"/>
      <w:lvlText w:val="%1."/>
      <w:rPr>
        <w:color w:val="3370ff"/>
      </w:rPr>
    </w:lvl>
  </w:abstractNum>
  <w:abstractNum w:abstractNumId="287560">
    <w:lvl>
      <w:start w:val="1"/>
      <w:numFmt w:val="decimal"/>
      <w:suff w:val="tab"/>
      <w:lvlText w:val="%1."/>
      <w:rPr>
        <w:color w:val="3370ff"/>
      </w:rPr>
    </w:lvl>
  </w:abstractNum>
  <w:abstractNum w:abstractNumId="287561">
    <w:lvl>
      <w:numFmt w:val="bullet"/>
      <w:suff w:val="tab"/>
      <w:lvlText w:val="•"/>
      <w:rPr>
        <w:color w:val="3370ff"/>
      </w:rPr>
    </w:lvl>
  </w:abstractNum>
  <w:abstractNum w:abstractNumId="287562">
    <w:lvl>
      <w:numFmt w:val="bullet"/>
      <w:suff w:val="tab"/>
      <w:lvlText w:val="•"/>
      <w:rPr>
        <w:color w:val="3370ff"/>
      </w:rPr>
    </w:lvl>
  </w:abstractNum>
  <w:abstractNum w:abstractNumId="287563">
    <w:lvl>
      <w:numFmt w:val="bullet"/>
      <w:suff w:val="tab"/>
      <w:lvlText w:val="•"/>
      <w:rPr>
        <w:color w:val="3370ff"/>
      </w:rPr>
    </w:lvl>
  </w:abstractNum>
  <w:abstractNum w:abstractNumId="287564">
    <w:lvl>
      <w:numFmt w:val="bullet"/>
      <w:suff w:val="tab"/>
      <w:lvlText w:val="•"/>
      <w:rPr>
        <w:color w:val="3370ff"/>
      </w:rPr>
    </w:lvl>
  </w:abstractNum>
  <w:abstractNum w:abstractNumId="287565">
    <w:lvl>
      <w:numFmt w:val="bullet"/>
      <w:suff w:val="tab"/>
      <w:lvlText w:val="•"/>
      <w:rPr>
        <w:color w:val="3370ff"/>
      </w:rPr>
    </w:lvl>
  </w:abstractNum>
  <w:abstractNum w:abstractNumId="287566">
    <w:lvl>
      <w:numFmt w:val="bullet"/>
      <w:suff w:val="tab"/>
      <w:lvlText w:val="•"/>
      <w:rPr>
        <w:color w:val="3370ff"/>
      </w:rPr>
    </w:lvl>
  </w:abstractNum>
  <w:abstractNum w:abstractNumId="287567">
    <w:lvl>
      <w:numFmt w:val="bullet"/>
      <w:suff w:val="tab"/>
      <w:lvlText w:val="•"/>
      <w:rPr>
        <w:color w:val="3370ff"/>
      </w:rPr>
    </w:lvl>
  </w:abstractNum>
  <w:abstractNum w:abstractNumId="287568">
    <w:lvl>
      <w:numFmt w:val="bullet"/>
      <w:suff w:val="tab"/>
      <w:lvlText w:val="•"/>
      <w:rPr>
        <w:color w:val="3370ff"/>
      </w:rPr>
    </w:lvl>
  </w:abstractNum>
  <w:abstractNum w:abstractNumId="287569">
    <w:lvl>
      <w:numFmt w:val="bullet"/>
      <w:suff w:val="tab"/>
      <w:lvlText w:val="•"/>
      <w:rPr>
        <w:color w:val="3370ff"/>
      </w:rPr>
    </w:lvl>
  </w:abstractNum>
  <w:abstractNum w:abstractNumId="287570">
    <w:lvl>
      <w:numFmt w:val="bullet"/>
      <w:suff w:val="tab"/>
      <w:lvlText w:val="•"/>
      <w:rPr>
        <w:color w:val="3370ff"/>
      </w:rPr>
    </w:lvl>
  </w:abstractNum>
  <w:abstractNum w:abstractNumId="287571">
    <w:lvl>
      <w:numFmt w:val="bullet"/>
      <w:suff w:val="tab"/>
      <w:lvlText w:val="•"/>
      <w:rPr>
        <w:color w:val="3370ff"/>
      </w:rPr>
    </w:lvl>
  </w:abstractNum>
  <w:num w:numId="1">
    <w:abstractNumId w:val="287516"/>
  </w:num>
  <w:num w:numId="2">
    <w:abstractNumId w:val="287517"/>
  </w:num>
  <w:num w:numId="3">
    <w:abstractNumId w:val="287518"/>
  </w:num>
  <w:num w:numId="4">
    <w:abstractNumId w:val="287519"/>
  </w:num>
  <w:num w:numId="5">
    <w:abstractNumId w:val="287520"/>
  </w:num>
  <w:num w:numId="6">
    <w:abstractNumId w:val="287521"/>
  </w:num>
  <w:num w:numId="7">
    <w:abstractNumId w:val="287522"/>
  </w:num>
  <w:num w:numId="8">
    <w:abstractNumId w:val="287523"/>
  </w:num>
  <w:num w:numId="9">
    <w:abstractNumId w:val="287524"/>
  </w:num>
  <w:num w:numId="10">
    <w:abstractNumId w:val="287525"/>
  </w:num>
  <w:num w:numId="11">
    <w:abstractNumId w:val="287526"/>
  </w:num>
  <w:num w:numId="12">
    <w:abstractNumId w:val="287527"/>
  </w:num>
  <w:num w:numId="13">
    <w:abstractNumId w:val="287528"/>
  </w:num>
  <w:num w:numId="14">
    <w:abstractNumId w:val="287529"/>
  </w:num>
  <w:num w:numId="15">
    <w:abstractNumId w:val="287530"/>
  </w:num>
  <w:num w:numId="16">
    <w:abstractNumId w:val="287531"/>
  </w:num>
  <w:num w:numId="17">
    <w:abstractNumId w:val="287532"/>
  </w:num>
  <w:num w:numId="18">
    <w:abstractNumId w:val="287533"/>
  </w:num>
  <w:num w:numId="19">
    <w:abstractNumId w:val="287534"/>
  </w:num>
  <w:num w:numId="20">
    <w:abstractNumId w:val="287535"/>
  </w:num>
  <w:num w:numId="21">
    <w:abstractNumId w:val="287536"/>
  </w:num>
  <w:num w:numId="22">
    <w:abstractNumId w:val="287537"/>
  </w:num>
  <w:num w:numId="23">
    <w:abstractNumId w:val="287538"/>
  </w:num>
  <w:num w:numId="24">
    <w:abstractNumId w:val="287539"/>
  </w:num>
  <w:num w:numId="25">
    <w:abstractNumId w:val="287540"/>
  </w:num>
  <w:num w:numId="26">
    <w:abstractNumId w:val="287541"/>
  </w:num>
  <w:num w:numId="27">
    <w:abstractNumId w:val="287542"/>
  </w:num>
  <w:num w:numId="28">
    <w:abstractNumId w:val="287543"/>
  </w:num>
  <w:num w:numId="29">
    <w:abstractNumId w:val="287544"/>
  </w:num>
  <w:num w:numId="30">
    <w:abstractNumId w:val="287545"/>
  </w:num>
  <w:num w:numId="31">
    <w:abstractNumId w:val="287546"/>
  </w:num>
  <w:num w:numId="32">
    <w:abstractNumId w:val="287547"/>
  </w:num>
  <w:num w:numId="33">
    <w:abstractNumId w:val="287548"/>
  </w:num>
  <w:num w:numId="34">
    <w:abstractNumId w:val="287549"/>
  </w:num>
  <w:num w:numId="35">
    <w:abstractNumId w:val="287550"/>
  </w:num>
  <w:num w:numId="36">
    <w:abstractNumId w:val="287551"/>
  </w:num>
  <w:num w:numId="37">
    <w:abstractNumId w:val="287552"/>
  </w:num>
  <w:num w:numId="38">
    <w:abstractNumId w:val="287553"/>
  </w:num>
  <w:num w:numId="39">
    <w:abstractNumId w:val="287554"/>
  </w:num>
  <w:num w:numId="40">
    <w:abstractNumId w:val="287555"/>
  </w:num>
  <w:num w:numId="41">
    <w:abstractNumId w:val="287556"/>
  </w:num>
  <w:num w:numId="42">
    <w:abstractNumId w:val="287557"/>
  </w:num>
  <w:num w:numId="43">
    <w:abstractNumId w:val="287558"/>
  </w:num>
  <w:num w:numId="44">
    <w:abstractNumId w:val="287559"/>
  </w:num>
  <w:num w:numId="45">
    <w:abstractNumId w:val="287560"/>
  </w:num>
  <w:num w:numId="46">
    <w:abstractNumId w:val="287561"/>
  </w:num>
  <w:num w:numId="47">
    <w:abstractNumId w:val="287562"/>
  </w:num>
  <w:num w:numId="48">
    <w:abstractNumId w:val="287563"/>
  </w:num>
  <w:num w:numId="49">
    <w:abstractNumId w:val="287564"/>
  </w:num>
  <w:num w:numId="50">
    <w:abstractNumId w:val="287565"/>
  </w:num>
  <w:num w:numId="51">
    <w:abstractNumId w:val="287566"/>
  </w:num>
  <w:num w:numId="52">
    <w:abstractNumId w:val="287567"/>
  </w:num>
  <w:num w:numId="53">
    <w:abstractNumId w:val="287568"/>
  </w:num>
  <w:num w:numId="54">
    <w:abstractNumId w:val="287569"/>
  </w:num>
  <w:num w:numId="55">
    <w:abstractNumId w:val="287570"/>
  </w:num>
  <w:num w:numId="56">
    <w:abstractNumId w:val="2875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learn.microsoft.com/zh-cn/rest/api/fabric/report/items" TargetMode="External" Type="http://schemas.openxmlformats.org/officeDocument/2006/relationships/hyperlink"/><Relationship Id="rId11" Target="https://learn.microsoft.com/zh-cn/power-bi/transform-model/desktop-storage-mode" TargetMode="External" Type="http://schemas.openxmlformats.org/officeDocument/2006/relationships/hyperlink"/><Relationship Id="rId12" Target="https://learn.microsoft.com/zh-cn/fabric/cicd/git-integration/intro-to-git-integration" TargetMode="External" Type="http://schemas.openxmlformats.org/officeDocument/2006/relationships/hyperlink"/><Relationship Id="rId13" Target="https://github.com/microsoft/json-schemas/tree/main/fabric/item/report/definitionProperties" TargetMode="External" Type="http://schemas.openxmlformats.org/officeDocument/2006/relationships/hyperlink"/><Relationship Id="rId14" Target="https://learn.microsoft.com/zh-cn/fabric/cicd/git-integration/source-code-format#automatically-generated-system-files" TargetMode="External" Type="http://schemas.openxmlformats.org/officeDocument/2006/relationships/hyperlink"/><Relationship Id="rId15" Target="media/image1.png" Type="http://schemas.openxmlformats.org/officeDocument/2006/relationships/image"/><Relationship Id="rId16" Target="media/image2.png" Type="http://schemas.openxmlformats.org/officeDocument/2006/relationships/image"/><Relationship Id="rId17" Target="media/image3.png" Type="http://schemas.openxmlformats.org/officeDocument/2006/relationships/image"/><Relationship Id="rId18" Target="media/image4.png" Type="http://schemas.openxmlformats.org/officeDocument/2006/relationships/image"/><Relationship Id="rId19" Target="https://github.com/microsoft/json-schemas/tree/main/fabric/item/report/definition/bookmark" TargetMode="External" Type="http://schemas.openxmlformats.org/officeDocument/2006/relationships/hyperlink"/><Relationship Id="rId2" Target="styles.xml" Type="http://schemas.openxmlformats.org/officeDocument/2006/relationships/styles"/><Relationship Id="rId20" Target="https://github.com/microsoft/json-schemas/tree/main/fabric/item/report/definition/bookmarksMetadata" TargetMode="External" Type="http://schemas.openxmlformats.org/officeDocument/2006/relationships/hyperlink"/><Relationship Id="rId21" Target="https://github.com/microsoft/json-schemas/tree/main/fabric/item/report/definition/visualContainerMobileState" TargetMode="External" Type="http://schemas.openxmlformats.org/officeDocument/2006/relationships/hyperlink"/><Relationship Id="rId22" Target="https://github.com/microsoft/json-schemas/tree/main/fabric/item/report/definition/visualContainer" TargetMode="External" Type="http://schemas.openxmlformats.org/officeDocument/2006/relationships/hyperlink"/><Relationship Id="rId23" Target="https://github.com/microsoft/json-schemas/tree/main/fabric/item/report/definition/page" TargetMode="External" Type="http://schemas.openxmlformats.org/officeDocument/2006/relationships/hyperlink"/><Relationship Id="rId24" Target="https://github.com/microsoft/json-schemas/tree/main/fabric/item/report/definition/pagesMetadata" TargetMode="External" Type="http://schemas.openxmlformats.org/officeDocument/2006/relationships/hyperlink"/><Relationship Id="rId25" Target="https://github.com/microsoft/json-schemas/tree/main/fabric/item/report/definition/versionMetadata" TargetMode="External" Type="http://schemas.openxmlformats.org/officeDocument/2006/relationships/hyperlink"/><Relationship Id="rId26" Target="https://github.com/microsoft/json-schemas/tree/main/fabric/item/report/definition/reportExtension" TargetMode="External" Type="http://schemas.openxmlformats.org/officeDocument/2006/relationships/hyperlink"/><Relationship Id="rId27" Target="https://github.com/microsoft/json-schemas/tree/main/fabric/item/report/definition/report" TargetMode="External" Type="http://schemas.openxmlformats.org/officeDocument/2006/relationships/hyperlink"/><Relationship Id="rId28" Target="media/image5.png" Type="http://schemas.openxmlformats.org/officeDocument/2006/relationships/image"/><Relationship Id="rId29" Target="media/image6.png" Type="http://schemas.openxmlformats.org/officeDocument/2006/relationships/image"/><Relationship Id="rId3" Target="footer1.xml" Type="http://schemas.openxmlformats.org/officeDocument/2006/relationships/footer"/><Relationship Id="rId30" Target="media/image7.png" Type="http://schemas.openxmlformats.org/officeDocument/2006/relationships/image"/><Relationship Id="rId31" Target="media/image8.png" Type="http://schemas.openxmlformats.org/officeDocument/2006/relationships/image"/><Relationship Id="rId32" Target="media/image9.png" Type="http://schemas.openxmlformats.org/officeDocument/2006/relationships/image"/><Relationship Id="rId33" Target="https://json-schema.org/" TargetMode="External" Type="http://schemas.openxmlformats.org/officeDocument/2006/relationships/hyperlink"/><Relationship Id="rId34" Target="https://code.visualstudio.com/" TargetMode="External" Type="http://schemas.openxmlformats.org/officeDocument/2006/relationships/hyperlink"/><Relationship Id="rId35" Target="media/image10.png" Type="http://schemas.openxmlformats.org/officeDocument/2006/relationships/image"/><Relationship Id="rId36" Target="https://github.com/microsoft/json-schemas/tree/main/fabric/item/report/definition" TargetMode="External" Type="http://schemas.openxmlformats.org/officeDocument/2006/relationships/hyperlink"/><Relationship Id="rId37" Target="https://code.visualstudio.com/" TargetMode="External" Type="http://schemas.openxmlformats.org/officeDocument/2006/relationships/hyperlink"/><Relationship Id="rId38" Target="media/image11.png" Type="http://schemas.openxmlformats.org/officeDocument/2006/relationships/image"/><Relationship Id="rId39" Target="media/image12.png" Type="http://schemas.openxmlformats.org/officeDocument/2006/relationships/image"/><Relationship Id="rId4" Target="https://learn.microsoft.com/zh-cn/power-bi/developer/projects/projects-report?tabs=v2%2Cdesktop" TargetMode="External" Type="http://schemas.openxmlformats.org/officeDocument/2006/relationships/hyperlink"/><Relationship Id="rId40" Target="media/image13.png" Type="http://schemas.openxmlformats.org/officeDocument/2006/relationships/image"/><Relationship Id="rId41" Target="https://learn.microsoft.com/zh-cn/power-bi/create-reports/power-bi-report-filter-types#automatic-filters" TargetMode="External" Type="http://schemas.openxmlformats.org/officeDocument/2006/relationships/hyperlink"/><Relationship Id="rId42" Target="https://learn.microsoft.com/zh-cn/fabric/cicd/git-integration/intro-to-git-integration" TargetMode="External" Type="http://schemas.openxmlformats.org/officeDocument/2006/relationships/hyperlink"/><Relationship Id="rId43" Target="https://learn.microsoft.com/zh-cn/rest/api/fabric/articles/item-management/item-management-overview" TargetMode="External" Type="http://schemas.openxmlformats.org/officeDocument/2006/relationships/hyperlink"/><Relationship Id="rId44" Target="https://learn.microsoft.com/zh-cn/power-bi/developer/projects/projects-dataset" TargetMode="External" Type="http://schemas.openxmlformats.org/officeDocument/2006/relationships/hyperlink"/><Relationship Id="rId45" Target="https://learn.microsoft.com/zh-cn/power-bi/developer/projects/projects-overview" TargetMode="External" Type="http://schemas.openxmlformats.org/officeDocument/2006/relationships/hyperlink"/><Relationship Id="rId46" Target="header1.xml" Type="http://schemas.openxmlformats.org/officeDocument/2006/relationships/header"/><Relationship Id="rId5" Target="https://www.feishu.cn/hc/zh-CN/articles/606278856233?from=in_ccm_clip_doc" TargetMode="External" Type="http://schemas.openxmlformats.org/officeDocument/2006/relationships/hyperlink"/><Relationship Id="rId6" Target="numbering.xml" Type="http://schemas.openxmlformats.org/officeDocument/2006/relationships/numbering"/><Relationship Id="rId7" Target="https://github.com/microsoft/json-schemas/tree/main/fabric/item/report/localSettings" TargetMode="External" Type="http://schemas.openxmlformats.org/officeDocument/2006/relationships/hyperlink"/><Relationship Id="rId8" Target="https://learn.microsoft.com/zh-cn/power-bi/developer/visuals/power-bi-custom-visuals#organizational-store" TargetMode="External" Type="http://schemas.openxmlformats.org/officeDocument/2006/relationships/hyperlink"/><Relationship Id="rId9" Target="https://learn.microsoft.com/zh-cn/rest/api/fabric/report/item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2025-11-11T00:44:02Z</dcterms:created>
  <dc:creator>Apache POI</dc:creator>
</cp:coreProperties>
</file>