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0DFC" w:rsidRDefault="00000000">
      <w:pPr>
        <w:spacing w:after="40"/>
        <w:rPr>
          <w:rFonts w:hint="default"/>
        </w:rPr>
      </w:pPr>
      <w:r>
        <w:rPr>
          <w:b/>
          <w:color w:val="2E74B5"/>
          <w:sz w:val="18"/>
        </w:rPr>
        <w:t>MILESTONE REPORT</w:t>
      </w:r>
    </w:p>
    <w:p w:rsidR="006E0DFC" w:rsidRDefault="00000000">
      <w:pPr>
        <w:spacing w:after="20"/>
        <w:rPr>
          <w:rFonts w:hint="default"/>
        </w:rPr>
      </w:pPr>
      <w:r>
        <w:rPr>
          <w:b/>
          <w:color w:val="17365D"/>
          <w:sz w:val="46"/>
        </w:rPr>
        <w:t>腸命天機：</w:t>
      </w:r>
      <w:r>
        <w:rPr>
          <w:b/>
          <w:color w:val="17365D"/>
          <w:sz w:val="46"/>
        </w:rPr>
        <w:t>Project CRC-ORACLE</w:t>
      </w:r>
    </w:p>
    <w:p w:rsidR="006E0DFC" w:rsidRDefault="00000000">
      <w:pPr>
        <w:spacing w:after="140"/>
        <w:rPr>
          <w:rFonts w:hint="default"/>
        </w:rPr>
      </w:pPr>
      <w:r>
        <w:rPr>
          <w:b/>
          <w:color w:val="5B6573"/>
          <w:sz w:val="24"/>
        </w:rPr>
        <w:t>Real-World Intelligence for Personalized Colorectal Cancer Outcomes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6E0DFC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Project Chinese Title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腸命天機：</w:t>
            </w:r>
            <w:r>
              <w:rPr>
                <w:color w:val="1F2937"/>
                <w:sz w:val="17"/>
              </w:rPr>
              <w:t>Project CRC-ORACLE</w:t>
            </w:r>
          </w:p>
        </w:tc>
      </w:tr>
      <w:tr w:rsidR="006E0DFC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Project English Title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Real-World Intelligence for Personalized Colorectal Cancer Outcomes</w:t>
            </w:r>
          </w:p>
        </w:tc>
      </w:tr>
      <w:tr w:rsidR="006E0DFC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Team / Roles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 xml:space="preserve">Leader: </w:t>
            </w:r>
            <w:r>
              <w:rPr>
                <w:color w:val="1F2937"/>
                <w:sz w:val="17"/>
              </w:rPr>
              <w:t>陳繹中</w:t>
            </w:r>
            <w:r>
              <w:rPr>
                <w:color w:val="1F293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—</w:t>
            </w:r>
            <w:r>
              <w:rPr>
                <w:color w:val="1F2937"/>
                <w:sz w:val="17"/>
              </w:rPr>
              <w:t xml:space="preserve"> project coordination, validation, data source, and UI</w:t>
            </w:r>
            <w:r>
              <w:rPr>
                <w:color w:val="1F2937"/>
                <w:sz w:val="17"/>
              </w:rPr>
              <w:t>｜</w:t>
            </w:r>
            <w:r>
              <w:rPr>
                <w:color w:val="1F2937"/>
                <w:sz w:val="17"/>
              </w:rPr>
              <w:t xml:space="preserve">Steven Chen </w:t>
            </w:r>
            <w:r>
              <w:rPr>
                <w:color w:val="1F2937"/>
                <w:sz w:val="17"/>
              </w:rPr>
              <w:t>—</w:t>
            </w:r>
            <w:r>
              <w:rPr>
                <w:color w:val="1F2937"/>
                <w:sz w:val="17"/>
              </w:rPr>
              <w:t xml:space="preserve"> UI</w:t>
            </w:r>
            <w:r>
              <w:rPr>
                <w:color w:val="1F2937"/>
                <w:sz w:val="17"/>
              </w:rPr>
              <w:t>｜</w:t>
            </w:r>
            <w:r>
              <w:rPr>
                <w:color w:val="1F2937"/>
                <w:sz w:val="17"/>
              </w:rPr>
              <w:t xml:space="preserve">Kevin and Sean </w:t>
            </w:r>
            <w:r>
              <w:rPr>
                <w:color w:val="1F2937"/>
                <w:sz w:val="17"/>
              </w:rPr>
              <w:t>—</w:t>
            </w:r>
            <w:r>
              <w:rPr>
                <w:color w:val="1F2937"/>
                <w:sz w:val="17"/>
              </w:rPr>
              <w:t xml:space="preserve"> Principal Component Analysis research</w:t>
            </w:r>
          </w:p>
        </w:tc>
      </w:tr>
      <w:tr w:rsidR="006E0DFC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Date / Status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2026-08-19</w:t>
            </w:r>
            <w:r>
              <w:rPr>
                <w:color w:val="1F2937"/>
                <w:sz w:val="17"/>
              </w:rPr>
              <w:t>｜</w:t>
            </w:r>
            <w:r>
              <w:rPr>
                <w:color w:val="1F2937"/>
                <w:sz w:val="17"/>
              </w:rPr>
              <w:t>Website v2 deployed; v3 analysis and validation design completed</w:t>
            </w:r>
          </w:p>
        </w:tc>
      </w:tr>
    </w:tbl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t xml:space="preserve">Project description for the Milestone form </w:t>
      </w:r>
    </w:p>
    <w:p w:rsidR="006E0DFC" w:rsidRDefault="00000000">
      <w:pPr>
        <w:ind w:left="173" w:right="173"/>
        <w:rPr>
          <w:rFonts w:hint="default"/>
          <w:lang w:eastAsia="zh-TW"/>
        </w:rPr>
      </w:pPr>
      <w:r>
        <w:rPr>
          <w:color w:val="1F2937"/>
          <w:lang w:eastAsia="zh-TW"/>
        </w:rPr>
        <w:t>本專案建置大腸直腸癌相似病患智慧查詢系統。醫師以自然語言輸入臨床特徵，系統依官方</w:t>
      </w:r>
      <w:r>
        <w:rPr>
          <w:color w:val="1F2937"/>
          <w:lang w:eastAsia="zh-TW"/>
        </w:rPr>
        <w:t xml:space="preserve"> codebook </w:t>
      </w:r>
      <w:r>
        <w:rPr>
          <w:color w:val="1F2937"/>
          <w:lang w:eastAsia="zh-TW"/>
        </w:rPr>
        <w:t>轉為結構化變數，透過主成分分析（</w:t>
      </w:r>
      <w:r>
        <w:rPr>
          <w:color w:val="1F2937"/>
          <w:lang w:eastAsia="zh-TW"/>
        </w:rPr>
        <w:t>Principal Component Analysis, PCA</w:t>
      </w:r>
      <w:r>
        <w:rPr>
          <w:color w:val="1F2937"/>
          <w:lang w:eastAsia="zh-TW"/>
        </w:rPr>
        <w:t>）進行降維與相似族群分層，再以</w:t>
      </w:r>
      <w:r w:rsidR="009F4D07">
        <w:rPr>
          <w:color w:val="1F2937"/>
          <w:lang w:eastAsia="zh-TW"/>
        </w:rPr>
        <w:t>生物統計方式（如</w:t>
      </w:r>
      <w:r>
        <w:rPr>
          <w:color w:val="1F2937"/>
          <w:lang w:eastAsia="zh-TW"/>
        </w:rPr>
        <w:t xml:space="preserve"> Kaplan</w:t>
      </w:r>
      <w:r>
        <w:rPr>
          <w:color w:val="1F2937"/>
          <w:lang w:eastAsia="zh-TW"/>
        </w:rPr>
        <w:t>–</w:t>
      </w:r>
      <w:r>
        <w:rPr>
          <w:color w:val="1F2937"/>
          <w:lang w:eastAsia="zh-TW"/>
        </w:rPr>
        <w:t xml:space="preserve">Meier </w:t>
      </w:r>
      <w:r>
        <w:rPr>
          <w:color w:val="1F2937"/>
          <w:lang w:eastAsia="zh-TW"/>
        </w:rPr>
        <w:t>呈現存活</w:t>
      </w:r>
      <w:r w:rsidR="009F4D07">
        <w:rPr>
          <w:color w:val="1F2937"/>
          <w:lang w:eastAsia="zh-TW"/>
        </w:rPr>
        <w:t>）</w:t>
      </w:r>
      <w:r>
        <w:rPr>
          <w:color w:val="1F2937"/>
          <w:lang w:eastAsia="zh-TW"/>
        </w:rPr>
        <w:t>結果。研究使用去識別擬真資料，並由醫師盲態驗證臨床合理性</w:t>
      </w:r>
      <w:r w:rsidR="009F4D07">
        <w:rPr>
          <w:color w:val="1F2937"/>
          <w:lang w:eastAsia="zh-TW"/>
        </w:rPr>
        <w:t>。</w:t>
      </w:r>
    </w:p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t xml:space="preserve">1. Introduction </w:t>
      </w:r>
      <w:r>
        <w:rPr>
          <w:rFonts w:ascii="Arial" w:eastAsia="微軟正黑體" w:hAnsi="Arial" w:cs="微軟正黑體"/>
        </w:rPr>
        <w:t>—</w:t>
      </w:r>
      <w:r>
        <w:rPr>
          <w:rFonts w:ascii="Arial" w:eastAsia="微軟正黑體" w:hAnsi="Arial" w:cs="微軟正黑體"/>
        </w:rPr>
        <w:t xml:space="preserve"> Explain the problem</w:t>
      </w:r>
    </w:p>
    <w:p w:rsidR="006E0DFC" w:rsidRDefault="00000000">
      <w:pPr>
        <w:rPr>
          <w:rFonts w:hint="default"/>
        </w:rPr>
      </w:pPr>
      <w:r>
        <w:rPr>
          <w:color w:val="1F2937"/>
        </w:rPr>
        <w:t xml:space="preserve">Colorectal-cancer prognosis is jointly influenced by </w:t>
      </w:r>
      <w:r w:rsidR="009F4D07">
        <w:rPr>
          <w:rFonts w:hint="default"/>
          <w:color w:val="1F2937"/>
        </w:rPr>
        <w:t>multiple biological information</w:t>
      </w:r>
      <w:r>
        <w:rPr>
          <w:color w:val="1F2937"/>
        </w:rPr>
        <w:t>. Clinicians often search for patients who resemble the case in front of them, but conventional registries require field-by-field filtering and do not provide an interpretable multivariable similarity measure. Project CRC-ORACLE aims to provide an auditable workflow from natural-language input to structured variables, Principal Component Analysis (PCA)-based patient similarity, and cohort-level survival visualization.</w:t>
      </w:r>
    </w:p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t xml:space="preserve">2. Problem statement </w:t>
      </w:r>
      <w:r>
        <w:rPr>
          <w:rFonts w:ascii="Arial" w:eastAsia="微軟正黑體" w:hAnsi="Arial" w:cs="微軟正黑體"/>
        </w:rPr>
        <w:t>—</w:t>
      </w:r>
      <w:r>
        <w:rPr>
          <w:rFonts w:ascii="Arial" w:eastAsia="微軟正黑體" w:hAnsi="Arial" w:cs="微軟正黑體"/>
        </w:rPr>
        <w:t xml:space="preserve"> Dataset, expected results and evaluation</w:t>
      </w:r>
    </w:p>
    <w:p w:rsidR="006E0DFC" w:rsidRDefault="00000000">
      <w:pPr>
        <w:rPr>
          <w:rFonts w:hint="default"/>
        </w:rPr>
      </w:pPr>
      <w:r>
        <w:rPr>
          <w:color w:val="1F2937"/>
        </w:rPr>
        <w:t>The dataset contains 12,250 colorectal-cancer records from 2007</w:t>
      </w:r>
      <w:r>
        <w:rPr>
          <w:color w:val="1F2937"/>
        </w:rPr>
        <w:t>–</w:t>
      </w:r>
      <w:r>
        <w:rPr>
          <w:color w:val="1F2937"/>
        </w:rPr>
        <w:t>2023 with 197 original variables. For privacy protection, all case identifiers were replaced; all dates within each patient were shifted by one common offset to preserve event order and intervals; continuous values were perturbed slightly while original zeros remained zero; categorical values and within-patient stage, treatment, and outcome relationships were preserved.</w:t>
      </w:r>
    </w:p>
    <w:p w:rsidR="006E0DFC" w:rsidRDefault="00000000">
      <w:pPr>
        <w:rPr>
          <w:rFonts w:hint="default"/>
        </w:rPr>
      </w:pPr>
      <w:r>
        <w:rPr>
          <w:color w:val="1F2937"/>
        </w:rPr>
        <w:t>Expected outcomes are: accurate mapping of Chinese/English clinical descriptions to official codebook variables; clinically coherent PCA-derived cohorts; reproducible Kaplan</w:t>
      </w:r>
      <w:r>
        <w:rPr>
          <w:color w:val="1F2937"/>
        </w:rPr>
        <w:t>–</w:t>
      </w:r>
      <w:r>
        <w:rPr>
          <w:color w:val="1F2937"/>
        </w:rPr>
        <w:t>Meier estimates under prespecified OS/CSS/DFS rules; and similarity validation against blinded physician review and objective baselines.</w:t>
      </w:r>
    </w:p>
    <w:p w:rsidR="006E0DFC" w:rsidRDefault="00000000">
      <w:pPr>
        <w:rPr>
          <w:rFonts w:hint="default"/>
        </w:rPr>
      </w:pPr>
      <w:r>
        <w:br w:type="page"/>
      </w:r>
    </w:p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lastRenderedPageBreak/>
        <w:t xml:space="preserve">3. Approach </w:t>
      </w:r>
      <w:r>
        <w:rPr>
          <w:rFonts w:ascii="Arial" w:eastAsia="微軟正黑體" w:hAnsi="Arial" w:cs="微軟正黑體"/>
        </w:rPr>
        <w:t>—</w:t>
      </w:r>
      <w:r>
        <w:rPr>
          <w:rFonts w:ascii="Arial" w:eastAsia="微軟正黑體" w:hAnsi="Arial" w:cs="微軟正黑體"/>
        </w:rPr>
        <w:t xml:space="preserve"> Proposed method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6E0DFC">
        <w:trPr>
          <w:tblHeader/>
        </w:trPr>
        <w:tc>
          <w:tcPr>
            <w:tcW w:w="20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rPr>
                <w:rFonts w:hint="default"/>
              </w:rPr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31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rPr>
                <w:rFonts w:hint="default"/>
              </w:rPr>
            </w:pPr>
            <w:r>
              <w:rPr>
                <w:b/>
                <w:color w:val="FFFFFF"/>
                <w:sz w:val="18"/>
              </w:rPr>
              <w:t>Method</w:t>
            </w:r>
          </w:p>
        </w:tc>
      </w:tr>
      <w:tr w:rsidR="006E0DFC"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1 | Language layer</w:t>
            </w:r>
          </w:p>
        </w:tc>
        <w:tc>
          <w:tcPr>
            <w:tcW w:w="7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Rule-based bilingual parsing maps age, sex, stage, site, grade, operation, CEA, and other terms to official variable/code pairs. The clinician confirms or edits the structured fields before execution.</w:t>
            </w:r>
          </w:p>
        </w:tc>
      </w:tr>
      <w:tr w:rsidR="006E0DFC"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2 | Preprocessing</w:t>
            </w:r>
          </w:p>
        </w:tc>
        <w:tc>
          <w:tcPr>
            <w:tcW w:w="7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Missing values and sentinel codes are handled to form 23 clinical features.</w:t>
            </w:r>
            <w:r w:rsidR="009F4D07">
              <w:rPr>
                <w:rFonts w:hint="default"/>
                <w:color w:val="1F2937"/>
                <w:sz w:val="17"/>
              </w:rPr>
              <w:t xml:space="preserve"> </w:t>
            </w:r>
          </w:p>
        </w:tc>
      </w:tr>
      <w:tr w:rsidR="006E0DFC"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3 | Principal Component Analysis</w:t>
            </w:r>
          </w:p>
        </w:tc>
        <w:tc>
          <w:tcPr>
            <w:tcW w:w="7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Principal Component Analysis (PCA) reduces dimensionality and provides interpretable loadings. Patients are ranked by Euclidean distance in PC1</w:t>
            </w:r>
            <w:r>
              <w:rPr>
                <w:color w:val="1F2937"/>
                <w:sz w:val="17"/>
              </w:rPr>
              <w:t>–</w:t>
            </w:r>
            <w:r>
              <w:rPr>
                <w:color w:val="1F2937"/>
                <w:sz w:val="17"/>
              </w:rPr>
              <w:t>PC3, and a fixed 300-patient cohort is used for validation.</w:t>
            </w:r>
          </w:p>
        </w:tc>
      </w:tr>
      <w:tr w:rsidR="006E0DFC"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4 | Outcome analysis</w:t>
            </w:r>
          </w:p>
        </w:tc>
        <w:tc>
          <w:tcPr>
            <w:tcW w:w="7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  <w:lang w:eastAsia="zh-TW"/>
              </w:rPr>
            </w:pPr>
            <w:r>
              <w:rPr>
                <w:color w:val="1F2937"/>
                <w:sz w:val="17"/>
              </w:rPr>
              <w:t>OD is time zero. FOLLOW_ST, FST_REC_D, DEATH_D, and LATESTUPD define Kaplan</w:t>
            </w:r>
            <w:r>
              <w:rPr>
                <w:color w:val="1F2937"/>
                <w:sz w:val="17"/>
              </w:rPr>
              <w:t>–</w:t>
            </w:r>
            <w:r>
              <w:rPr>
                <w:color w:val="1F2937"/>
                <w:sz w:val="17"/>
              </w:rPr>
              <w:t>Meier endpoints with Greenwood 95% confidence intervals</w:t>
            </w:r>
          </w:p>
        </w:tc>
      </w:tr>
      <w:tr w:rsidR="006E0DFC"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5 | Validation</w:t>
            </w:r>
          </w:p>
        </w:tc>
        <w:tc>
          <w:tcPr>
            <w:tcW w:w="7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PCA-selected cohorts will be compared with standardized 23-dimensional and randomly sampled cohort baselines. A physician reviews similarity without seeing outcomes or model predictions.</w:t>
            </w:r>
          </w:p>
        </w:tc>
      </w:tr>
    </w:tbl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t xml:space="preserve">4. Preliminary results </w:t>
      </w:r>
      <w:r>
        <w:rPr>
          <w:rFonts w:ascii="Arial" w:eastAsia="微軟正黑體" w:hAnsi="Arial" w:cs="微軟正黑體"/>
        </w:rPr>
        <w:t>—</w:t>
      </w:r>
      <w:r>
        <w:rPr>
          <w:rFonts w:ascii="Arial" w:eastAsia="微軟正黑體" w:hAnsi="Arial" w:cs="微軟正黑體"/>
        </w:rPr>
        <w:t xml:space="preserve"> Current findings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6E0DFC">
        <w:trPr>
          <w:tblHeader/>
        </w:trPr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rPr>
                <w:rFonts w:hint="default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rPr>
                <w:rFonts w:hint="default"/>
              </w:rPr>
            </w:pPr>
            <w:r>
              <w:rPr>
                <w:b/>
                <w:color w:val="FFFFFF"/>
                <w:sz w:val="17"/>
              </w:rPr>
              <w:t>Preliminary result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Data integrity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v3 uses 12,238 modeling cases plus 12 held-out cases. Stage correlations with T/N/M are 0.677/0.729/0.658; FOLLOW_ST</w:t>
            </w:r>
            <w:r>
              <w:rPr>
                <w:color w:val="1F2937"/>
                <w:sz w:val="17"/>
              </w:rPr>
              <w:t>–</w:t>
            </w:r>
            <w:r>
              <w:rPr>
                <w:color w:val="1F2937"/>
                <w:sz w:val="17"/>
              </w:rPr>
              <w:t>DEATH_D contradiction rate is 0.1%.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Principal Component Analysis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Twenty-three clinical features: PC1 22.3%, PC2 11.2%, PC3 7.0%; cumulative 40.4%. Axes reflect tumor burden, nutrition/fitness, and age/comorbidity.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Survival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Thirty-six OS/CSS/DFS checkpoints (Stage I</w:t>
            </w:r>
            <w:r>
              <w:rPr>
                <w:color w:val="1F2937"/>
                <w:sz w:val="17"/>
              </w:rPr>
              <w:t>–</w:t>
            </w:r>
            <w:r>
              <w:rPr>
                <w:color w:val="1F2937"/>
                <w:sz w:val="17"/>
              </w:rPr>
              <w:t>IV at 1/3/5 years) were recomputed under the official specification and matched the team leader's reference results.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Prediction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Cox C-index is 0.7861. Five-year OS across four PCA-derived groups ranges from 88.7% to 20.1%, showing a clear risk gradient.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Held-out validation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 xml:space="preserve">Using a fixed 300-patient PCA-derived cohort, 10/12 held-out cases have </w:t>
            </w:r>
            <w:r>
              <w:rPr>
                <w:color w:val="1F2937"/>
                <w:sz w:val="17"/>
              </w:rPr>
              <w:t>≥</w:t>
            </w:r>
            <w:r>
              <w:rPr>
                <w:color w:val="1F2937"/>
                <w:sz w:val="17"/>
              </w:rPr>
              <w:t>45% same-stage matches; two heterogeneous/failure cases were identified for physician review.</w:t>
            </w:r>
          </w:p>
        </w:tc>
      </w:tr>
      <w:tr w:rsidR="006E0DFC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b/>
                <w:color w:val="1F2937"/>
                <w:sz w:val="17"/>
              </w:rPr>
              <w:t>Website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0DFC" w:rsidRDefault="00000000">
            <w:pPr>
              <w:keepLines/>
              <w:spacing w:after="0" w:line="240" w:lineRule="auto"/>
              <w:rPr>
                <w:rFonts w:hint="default"/>
              </w:rPr>
            </w:pPr>
            <w:r>
              <w:rPr>
                <w:color w:val="1F2937"/>
                <w:sz w:val="17"/>
              </w:rPr>
              <w:t>The v2 demo is deployed. Fifteen of 15 bilingual parsing fields were correct; in one Stage II query, 98 of 100 returned patients were Stage II.</w:t>
            </w:r>
          </w:p>
        </w:tc>
      </w:tr>
    </w:tbl>
    <w:p w:rsidR="006E0DFC" w:rsidRDefault="00000000">
      <w:pPr>
        <w:pStyle w:val="1"/>
        <w:rPr>
          <w:rFonts w:hint="default"/>
        </w:rPr>
      </w:pPr>
      <w:r>
        <w:rPr>
          <w:rFonts w:ascii="Arial" w:eastAsia="微軟正黑體" w:hAnsi="Arial" w:cs="微軟正黑體"/>
        </w:rPr>
        <w:t>Evaluation and next milestone</w:t>
      </w:r>
    </w:p>
    <w:p w:rsidR="006E0DFC" w:rsidRDefault="009F4D07">
      <w:pPr>
        <w:rPr>
          <w:rFonts w:hint="default"/>
        </w:rPr>
      </w:pPr>
      <w:r w:rsidRPr="009F4D07">
        <w:drawing>
          <wp:anchor distT="0" distB="0" distL="114300" distR="114300" simplePos="0" relativeHeight="251660800" behindDoc="0" locked="0" layoutInCell="1" allowOverlap="1" wp14:anchorId="2B678321" wp14:editId="3D1E521E">
            <wp:simplePos x="0" y="0"/>
            <wp:positionH relativeFrom="column">
              <wp:posOffset>260253</wp:posOffset>
            </wp:positionH>
            <wp:positionV relativeFrom="paragraph">
              <wp:posOffset>753305</wp:posOffset>
            </wp:positionV>
            <wp:extent cx="4269105" cy="1836420"/>
            <wp:effectExtent l="0" t="0" r="0" b="5080"/>
            <wp:wrapSquare wrapText="bothSides"/>
            <wp:docPr id="1080500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0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1F2937"/>
        </w:rPr>
        <w:t>Next, we will compare Principal Component Analysis (PCA)-selected cohorts against standardized 23-dimensional and randomly sampled cohort baselines, complete blinded physician annotation for all 12 held-out cases, and add 5-fold cross-validation plus a calibration plot. All current results use de-identified synthetic data and must not guide individual clinical decisions.</w:t>
      </w:r>
      <w:r>
        <w:rPr>
          <w:rFonts w:hint="default"/>
          <w:color w:val="1F2937"/>
        </w:rPr>
        <w:br/>
      </w:r>
    </w:p>
    <w:sectPr w:rsidR="006E0DFC" w:rsidSect="00034616">
      <w:headerReference w:type="default" r:id="rId9"/>
      <w:footerReference w:type="default" r:id="rId10"/>
      <w:pgSz w:w="12240" w:h="15840"/>
      <w:pgMar w:top="893" w:right="1080" w:bottom="893" w:left="108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0431" w:rsidRDefault="00010431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:rsidR="00010431" w:rsidRDefault="00010431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0DFC" w:rsidRDefault="00000000">
    <w:pPr>
      <w:pStyle w:val="a7"/>
      <w:jc w:val="right"/>
      <w:rPr>
        <w:rFonts w:hint="default"/>
      </w:rPr>
    </w:pPr>
    <w:r>
      <w:rPr>
        <w:color w:val="5B6573"/>
        <w:sz w:val="18"/>
      </w:rPr>
      <w:t xml:space="preserve">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 w:rsidR="009F4D07">
      <w:rPr>
        <w:rFonts w:hint="default"/>
        <w:color w:val="5B6573"/>
        <w:sz w:val="18"/>
      </w:rPr>
      <w:fldChar w:fldCharType="separate"/>
    </w:r>
    <w:r w:rsidR="009F4D07">
      <w:rPr>
        <w:rFonts w:hint="default"/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0431" w:rsidRDefault="00010431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:rsidR="00010431" w:rsidRDefault="00010431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0DFC" w:rsidRDefault="00000000">
    <w:pPr>
      <w:pStyle w:val="a5"/>
      <w:rPr>
        <w:rFonts w:hint="default"/>
      </w:rPr>
    </w:pPr>
    <w:r>
      <w:rPr>
        <w:b/>
        <w:color w:val="5B6573"/>
        <w:sz w:val="17"/>
      </w:rPr>
      <w:t xml:space="preserve">StanCode 201 </w:t>
    </w:r>
    <w:r>
      <w:rPr>
        <w:b/>
        <w:color w:val="5B6573"/>
        <w:sz w:val="17"/>
      </w:rPr>
      <w:t>·</w:t>
    </w:r>
    <w:r>
      <w:rPr>
        <w:b/>
        <w:color w:val="5B6573"/>
        <w:sz w:val="17"/>
      </w:rPr>
      <w:t xml:space="preserve"> Milestone Report </w:t>
    </w:r>
    <w:r>
      <w:rPr>
        <w:b/>
        <w:color w:val="5B6573"/>
        <w:sz w:val="17"/>
      </w:rPr>
      <w:t>·</w:t>
    </w:r>
    <w:r>
      <w:rPr>
        <w:b/>
        <w:color w:val="5B6573"/>
        <w:sz w:val="17"/>
      </w:rPr>
      <w:t xml:space="preserve"> Project CRC-ORACLE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482475">
    <w:abstractNumId w:val="8"/>
  </w:num>
  <w:num w:numId="2" w16cid:durableId="1494107149">
    <w:abstractNumId w:val="6"/>
  </w:num>
  <w:num w:numId="3" w16cid:durableId="1080440852">
    <w:abstractNumId w:val="5"/>
  </w:num>
  <w:num w:numId="4" w16cid:durableId="1336760984">
    <w:abstractNumId w:val="4"/>
  </w:num>
  <w:num w:numId="5" w16cid:durableId="1845782580">
    <w:abstractNumId w:val="7"/>
  </w:num>
  <w:num w:numId="6" w16cid:durableId="1952011312">
    <w:abstractNumId w:val="3"/>
  </w:num>
  <w:num w:numId="7" w16cid:durableId="1770815253">
    <w:abstractNumId w:val="2"/>
  </w:num>
  <w:num w:numId="8" w16cid:durableId="633873025">
    <w:abstractNumId w:val="1"/>
  </w:num>
  <w:num w:numId="9" w16cid:durableId="156140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31"/>
    <w:rsid w:val="00034616"/>
    <w:rsid w:val="0006063C"/>
    <w:rsid w:val="0015074B"/>
    <w:rsid w:val="0029639D"/>
    <w:rsid w:val="00326F90"/>
    <w:rsid w:val="006E0DFC"/>
    <w:rsid w:val="009F4D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D0488"/>
  <w14:defaultImageDpi w14:val="300"/>
  <w15:docId w15:val="{F33FE534-57F1-C24A-8107-9101A3AE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rial" w:eastAsia="微軟正黑體" w:hAnsi="Arial" w:cs="微軟正黑體" w:hint="eastAsi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2E74B5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E74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腸命天機：Project CRC-ORACLE — Milestone Report</dc:title>
  <dc:subject>StanCode 201 AI Poster Project Milestone</dc:subject>
  <dc:creator>陳繹中與 Project CRC-ORACLE 團隊</dc:creator>
  <cp:keywords>colorectal cancer, Principal Component Analysis, PCA, Kaplan-Meier, natural language</cp:keywords>
  <dc:description>generated by python-docx</dc:description>
  <cp:lastModifiedBy>繹中 陳</cp:lastModifiedBy>
  <cp:revision>2</cp:revision>
  <dcterms:created xsi:type="dcterms:W3CDTF">2026-08-19T11:56:00Z</dcterms:created>
  <dcterms:modified xsi:type="dcterms:W3CDTF">2026-08-19T11:56:00Z</dcterms:modified>
  <cp:category/>
</cp:coreProperties>
</file>