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8711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Lily </w:t>
      </w:r>
      <w:r>
        <w:rPr>
          <w:rFonts w:ascii="Times New Roman" w:hAnsi="Times New Roman" w:cs="Times New Roman"/>
          <w:b/>
          <w:bCs/>
          <w:sz w:val="36"/>
          <w:szCs w:val="36"/>
        </w:rPr>
        <w:t>Runfeng Li</w:t>
      </w:r>
    </w:p>
    <w:p w14:paraId="2646FA0A">
      <w:pPr>
        <w:spacing w:after="156" w:afterLines="50"/>
        <w:jc w:val="center"/>
        <w:rPr>
          <w:rFonts w:ascii="Calibri" w:hAnsi="Calibri" w:cs="Calibri"/>
          <w:color w:val="000000"/>
          <w:szCs w:val="32"/>
        </w:rPr>
      </w:pPr>
      <w:r>
        <w:rPr>
          <w:rFonts w:ascii="Calibri" w:hAnsi="Calibri" w:cs="Calibri"/>
          <w:color w:val="000000"/>
          <w:szCs w:val="32"/>
        </w:rPr>
        <w:t>0436964864 | U7749827@anu.edu.au</w:t>
      </w:r>
    </w:p>
    <w:p w14:paraId="05B02DFE">
      <w:pPr>
        <w:spacing w:after="120" w:line="300" w:lineRule="exact"/>
        <w:rPr>
          <w:rFonts w:ascii="Arial" w:hAnsi="Arial" w:cs="Arial"/>
          <w:b/>
          <w:bCs/>
          <w:caps/>
          <w:color w:val="000000"/>
          <w:sz w:val="28"/>
          <w:szCs w:val="36"/>
        </w:rPr>
      </w:pPr>
      <w:r>
        <w:rPr>
          <w:rFonts w:ascii="Arial" w:hAnsi="Arial" w:cs="Arial" w:eastAsiaTheme="minorEastAsia"/>
          <w:b/>
          <w:bCs/>
          <w:caps/>
          <w:color w:val="000000"/>
          <w:sz w:val="28"/>
          <w:szCs w:val="36"/>
        </w:rPr>
        <w:t>Education</w:t>
      </w:r>
    </w:p>
    <w:tbl>
      <w:tblPr>
        <w:tblStyle w:val="3"/>
        <w:tblpPr w:leftFromText="180" w:rightFromText="180" w:vertAnchor="text" w:horzAnchor="page" w:tblpXSpec="center" w:tblpY="89"/>
        <w:tblOverlap w:val="never"/>
        <w:tblW w:w="0" w:type="auto"/>
        <w:jc w:val="center"/>
        <w:tblBorders>
          <w:top w:val="single" w:color="auto" w:sz="12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8"/>
        <w:gridCol w:w="2211"/>
      </w:tblGrid>
      <w:tr w14:paraId="342DEE10">
        <w:trPr>
          <w:trHeight w:val="679" w:hRule="atLeast"/>
          <w:jc w:val="center"/>
        </w:trPr>
        <w:tc>
          <w:tcPr>
            <w:tcW w:w="8188" w:type="dxa"/>
            <w:tcBorders>
              <w:top w:val="single" w:color="auto" w:sz="12" w:space="0"/>
              <w:bottom w:val="nil"/>
              <w:tl2br w:val="nil"/>
              <w:tr2bl w:val="nil"/>
            </w:tcBorders>
          </w:tcPr>
          <w:p w14:paraId="70A95C6E">
            <w:pPr>
              <w:widowControl w:val="0"/>
              <w:spacing w:line="320" w:lineRule="exact"/>
              <w:jc w:val="left"/>
              <w:rPr>
                <w:rFonts w:ascii="Calibri" w:hAnsi="Calibri" w:eastAsia="黑体" w:cs="Calibri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Calibri" w:hAnsi="Calibri" w:eastAsia="黑体" w:cs="Calibri"/>
                <w:b/>
                <w:bCs/>
                <w:color w:val="000000"/>
                <w:sz w:val="28"/>
                <w:szCs w:val="36"/>
              </w:rPr>
              <w:t>The Australian National University</w:t>
            </w:r>
          </w:p>
          <w:p w14:paraId="5996551D">
            <w:pPr>
              <w:widowControl w:val="0"/>
              <w:spacing w:line="320" w:lineRule="exact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Major: Master of Computer Science</w:t>
            </w:r>
          </w:p>
        </w:tc>
        <w:tc>
          <w:tcPr>
            <w:tcW w:w="2211" w:type="dxa"/>
            <w:tcBorders>
              <w:top w:val="single" w:color="auto" w:sz="12" w:space="0"/>
              <w:bottom w:val="nil"/>
              <w:tl2br w:val="nil"/>
              <w:tr2bl w:val="nil"/>
            </w:tcBorders>
          </w:tcPr>
          <w:p w14:paraId="37A6C91F">
            <w:pPr>
              <w:widowControl w:val="0"/>
              <w:jc w:val="right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Canberra ACT 2601</w:t>
            </w:r>
          </w:p>
          <w:p w14:paraId="67B209C6">
            <w:pPr>
              <w:widowControl w:val="0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2023.7 – Present</w:t>
            </w:r>
          </w:p>
        </w:tc>
      </w:tr>
      <w:tr w14:paraId="10F29887">
        <w:trPr>
          <w:trHeight w:val="708" w:hRule="atLeast"/>
          <w:jc w:val="center"/>
        </w:trPr>
        <w:tc>
          <w:tcPr>
            <w:tcW w:w="8188" w:type="dxa"/>
            <w:tcBorders>
              <w:top w:val="nil"/>
              <w:bottom w:val="nil"/>
              <w:tl2br w:val="nil"/>
              <w:tr2bl w:val="nil"/>
            </w:tcBorders>
          </w:tcPr>
          <w:p w14:paraId="2C9B684F">
            <w:pPr>
              <w:widowControl w:val="0"/>
              <w:spacing w:line="320" w:lineRule="exact"/>
              <w:jc w:val="left"/>
              <w:rPr>
                <w:rFonts w:ascii="Calibri" w:hAnsi="Calibri" w:eastAsia="黑体" w:cs="Calibri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Calibri" w:hAnsi="Calibri" w:eastAsia="黑体" w:cs="Calibri"/>
                <w:b/>
                <w:bCs/>
                <w:color w:val="000000"/>
                <w:sz w:val="28"/>
                <w:szCs w:val="36"/>
              </w:rPr>
              <w:t>Shanghai Ocean University</w:t>
            </w:r>
            <w:r>
              <w:rPr>
                <w:rFonts w:hint="eastAsia" w:ascii="Calibri" w:hAnsi="Calibri" w:eastAsia="黑体" w:cs="Calibri"/>
                <w:b/>
                <w:bCs/>
                <w:color w:val="000000"/>
                <w:sz w:val="28"/>
                <w:szCs w:val="36"/>
              </w:rPr>
              <w:t xml:space="preserve"> / </w:t>
            </w:r>
            <w:r>
              <w:rPr>
                <w:rFonts w:ascii="Calibri" w:hAnsi="Calibri" w:eastAsia="黑体" w:cs="Calibri"/>
                <w:b/>
                <w:bCs/>
                <w:color w:val="000000"/>
                <w:sz w:val="28"/>
                <w:szCs w:val="36"/>
              </w:rPr>
              <w:t>University of Tasmania (Joint Program)</w:t>
            </w:r>
          </w:p>
          <w:p w14:paraId="60FD7A1C">
            <w:pPr>
              <w:widowControl w:val="0"/>
              <w:spacing w:line="320" w:lineRule="exact"/>
              <w:jc w:val="left"/>
              <w:rPr>
                <w:rFonts w:ascii="Calibri" w:hAnsi="Calibri" w:cs="Calibri"/>
              </w:rPr>
            </w:pPr>
            <w:r>
              <w:rPr>
                <w:rFonts w:hint="eastAsia" w:ascii="Calibri" w:hAnsi="Calibri" w:cs="Calibri"/>
              </w:rPr>
              <w:t>Major</w:t>
            </w:r>
            <w:r>
              <w:rPr>
                <w:rFonts w:ascii="Calibri" w:hAnsi="Calibri" w:cs="Calibri"/>
              </w:rPr>
              <w:t>: Bachelor of Information Management and Information Systems</w:t>
            </w:r>
          </w:p>
          <w:p w14:paraId="79DA42CF">
            <w:pPr>
              <w:widowControl w:val="0"/>
              <w:spacing w:line="320" w:lineRule="exact"/>
              <w:jc w:val="left"/>
              <w:rPr>
                <w:rFonts w:ascii="Calibri" w:hAnsi="Calibri" w:eastAsia="黑体" w:cs="Calibri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Calibri" w:hAnsi="Calibri" w:cs="Calibri"/>
                <w:b/>
                <w:bCs/>
              </w:rPr>
              <w:t>GPA:</w:t>
            </w:r>
            <w:r>
              <w:rPr>
                <w:rFonts w:ascii="Calibri" w:hAnsi="Calibri" w:cs="Calibri"/>
              </w:rPr>
              <w:t xml:space="preserve"> 3.5/4.0, </w:t>
            </w:r>
            <w:r>
              <w:rPr>
                <w:rFonts w:ascii="Calibri" w:hAnsi="Calibri" w:cs="Calibri"/>
                <w:b/>
                <w:bCs/>
              </w:rPr>
              <w:t>Average Score:</w:t>
            </w:r>
            <w:r>
              <w:rPr>
                <w:rFonts w:ascii="Calibri" w:hAnsi="Calibri" w:cs="Calibri"/>
              </w:rPr>
              <w:t xml:space="preserve"> 86 (Top 30%)</w:t>
            </w:r>
          </w:p>
        </w:tc>
        <w:tc>
          <w:tcPr>
            <w:tcW w:w="2211" w:type="dxa"/>
            <w:tcBorders>
              <w:top w:val="nil"/>
              <w:bottom w:val="nil"/>
              <w:tl2br w:val="nil"/>
              <w:tr2bl w:val="nil"/>
            </w:tcBorders>
          </w:tcPr>
          <w:p w14:paraId="7D6CA416">
            <w:pPr>
              <w:widowControl w:val="0"/>
              <w:jc w:val="right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Shanghai China 201306 </w:t>
            </w:r>
          </w:p>
          <w:p w14:paraId="45420625">
            <w:pPr>
              <w:widowControl w:val="0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2019.9 - 2023.6</w:t>
            </w:r>
          </w:p>
        </w:tc>
      </w:tr>
    </w:tbl>
    <w:p w14:paraId="61129C53">
      <w:pPr>
        <w:spacing w:before="120" w:after="120" w:line="300" w:lineRule="exact"/>
        <w:rPr>
          <w:rFonts w:ascii="Arial" w:hAnsi="Arial" w:cs="Arial"/>
          <w:b/>
          <w:bCs/>
          <w:caps/>
          <w:color w:val="000000"/>
          <w:sz w:val="28"/>
          <w:szCs w:val="36"/>
        </w:rPr>
      </w:pPr>
      <w:r>
        <w:rPr>
          <w:rFonts w:ascii="Arial" w:hAnsi="Arial" w:cs="Arial" w:eastAsiaTheme="minorEastAsia"/>
          <w:b/>
          <w:bCs/>
          <w:caps/>
          <w:color w:val="000000"/>
          <w:sz w:val="28"/>
          <w:szCs w:val="36"/>
        </w:rPr>
        <w:t>Work Experience</w:t>
      </w:r>
    </w:p>
    <w:tbl>
      <w:tblPr>
        <w:tblStyle w:val="3"/>
        <w:tblpPr w:leftFromText="180" w:rightFromText="180" w:vertAnchor="text" w:horzAnchor="page" w:tblpXSpec="center" w:tblpY="89"/>
        <w:tblOverlap w:val="never"/>
        <w:tblW w:w="0" w:type="auto"/>
        <w:jc w:val="center"/>
        <w:tblBorders>
          <w:top w:val="single" w:color="auto" w:sz="12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5"/>
        <w:gridCol w:w="1892"/>
      </w:tblGrid>
      <w:tr w14:paraId="0E554D19">
        <w:trPr>
          <w:jc w:val="center"/>
        </w:trPr>
        <w:tc>
          <w:tcPr>
            <w:tcW w:w="8505" w:type="dxa"/>
            <w:tcBorders>
              <w:tl2br w:val="nil"/>
              <w:tr2bl w:val="nil"/>
            </w:tcBorders>
          </w:tcPr>
          <w:p w14:paraId="0F42A8F4">
            <w:pPr>
              <w:widowControl w:val="0"/>
              <w:spacing w:line="320" w:lineRule="exact"/>
              <w:jc w:val="left"/>
              <w:rPr>
                <w:rFonts w:ascii="Calibri" w:hAnsi="Calibri" w:cs="Calibri"/>
                <w:color w:val="000000"/>
                <w:szCs w:val="32"/>
              </w:rPr>
            </w:pPr>
            <w:r>
              <w:rPr>
                <w:rFonts w:ascii="Calibri" w:hAnsi="Calibri" w:eastAsia="黑体" w:cs="Calibri"/>
                <w:b/>
                <w:bCs/>
                <w:color w:val="000000"/>
                <w:sz w:val="28"/>
                <w:szCs w:val="36"/>
              </w:rPr>
              <w:t>Shanghai Shuhua Cloud Information Technology Co., Ltd. - Business Delivery Assistant</w:t>
            </w:r>
          </w:p>
          <w:p w14:paraId="41949DDF">
            <w:pPr>
              <w:widowControl w:val="0"/>
              <w:jc w:val="both"/>
              <w:rPr>
                <w:rFonts w:ascii="Calibri" w:hAnsi="Calibri" w:cs="Calibri"/>
                <w:color w:val="000000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32"/>
              </w:rPr>
              <w:t xml:space="preserve">SIG Project Management: </w:t>
            </w:r>
            <w:r>
              <w:rPr>
                <w:rFonts w:ascii="Calibri" w:hAnsi="Calibri" w:cs="Calibri"/>
                <w:color w:val="000000"/>
                <w:szCs w:val="32"/>
              </w:rPr>
              <w:t>Led 4 SIG projects, including requirements analysis, progress tracking, risk control, and cross-department coordination; achieved all milestones on time.</w:t>
            </w:r>
          </w:p>
          <w:p w14:paraId="7D793978">
            <w:pPr>
              <w:widowControl w:val="0"/>
              <w:jc w:val="both"/>
              <w:rPr>
                <w:rFonts w:ascii="Calibri" w:hAnsi="Calibri" w:cs="Calibri"/>
                <w:color w:val="000000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32"/>
              </w:rPr>
              <w:t xml:space="preserve">TAPD Management: </w:t>
            </w:r>
            <w:r>
              <w:rPr>
                <w:rFonts w:ascii="Calibri" w:hAnsi="Calibri" w:cs="Calibri"/>
                <w:color w:val="000000"/>
                <w:szCs w:val="32"/>
              </w:rPr>
              <w:t>Utilized TAPD for planning and task allocation across 4 projects, effectively overseeing development progress and resource management.</w:t>
            </w:r>
          </w:p>
          <w:p w14:paraId="2E9E990C">
            <w:pPr>
              <w:widowControl w:val="0"/>
              <w:jc w:val="both"/>
              <w:rPr>
                <w:rFonts w:ascii="Calibri" w:hAnsi="Calibri" w:cs="Calibri"/>
                <w:color w:val="000000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32"/>
              </w:rPr>
              <w:t xml:space="preserve">Requirements Analysis: </w:t>
            </w:r>
            <w:r>
              <w:rPr>
                <w:rFonts w:ascii="Calibri" w:hAnsi="Calibri" w:cs="Calibri"/>
                <w:color w:val="000000"/>
                <w:szCs w:val="32"/>
              </w:rPr>
              <w:t>Conducted research for 2 core business requirements, developed detailed documentation, and reduced communication costs and rework rates by 30%.</w:t>
            </w:r>
          </w:p>
          <w:p w14:paraId="0B585B55">
            <w:pPr>
              <w:widowControl w:val="0"/>
              <w:jc w:val="both"/>
              <w:rPr>
                <w:rFonts w:hint="eastAsia" w:ascii="Calibri" w:hAnsi="Calibri" w:cs="Calibri"/>
                <w:color w:val="000000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32"/>
              </w:rPr>
              <w:t xml:space="preserve">System Configuration &amp; Optimization: </w:t>
            </w:r>
            <w:r>
              <w:rPr>
                <w:rFonts w:ascii="Calibri" w:hAnsi="Calibri" w:cs="Calibri"/>
                <w:color w:val="000000"/>
                <w:szCs w:val="32"/>
              </w:rPr>
              <w:t>Completed system configurations and optimized resource utilization, improving system stability and response speed by 15%.</w:t>
            </w:r>
          </w:p>
        </w:tc>
        <w:tc>
          <w:tcPr>
            <w:tcW w:w="1892" w:type="dxa"/>
            <w:tcBorders>
              <w:tl2br w:val="nil"/>
              <w:tr2bl w:val="nil"/>
            </w:tcBorders>
          </w:tcPr>
          <w:p w14:paraId="57B47251">
            <w:pPr>
              <w:widowControl w:val="0"/>
              <w:wordWrap w:val="0"/>
              <w:spacing w:before="156" w:beforeLines="50" w:line="260" w:lineRule="exact"/>
              <w:jc w:val="right"/>
              <w:rPr>
                <w:rFonts w:hint="eastAsia" w:ascii="Calibri" w:hAnsi="Calibri" w:cs="Calibri"/>
                <w:b/>
                <w:bCs/>
                <w:color w:val="000000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32"/>
              </w:rPr>
              <w:t>Shanghai, China</w:t>
            </w:r>
          </w:p>
          <w:p w14:paraId="40926E3C">
            <w:pPr>
              <w:widowControl w:val="0"/>
              <w:spacing w:line="260" w:lineRule="exact"/>
              <w:jc w:val="right"/>
              <w:rPr>
                <w:rFonts w:ascii="Calibri" w:hAnsi="Calibri" w:cs="Calibri"/>
                <w:color w:val="000000"/>
                <w:szCs w:val="32"/>
              </w:rPr>
            </w:pPr>
          </w:p>
          <w:p w14:paraId="4C9BC159">
            <w:pPr>
              <w:widowControl w:val="0"/>
              <w:spacing w:line="260" w:lineRule="exact"/>
              <w:jc w:val="right"/>
              <w:rPr>
                <w:rFonts w:hint="eastAsia" w:ascii="Calibri" w:hAnsi="Calibri" w:cs="Calibri" w:eastAsiaTheme="minorEastAsia"/>
                <w:color w:val="000000"/>
                <w:szCs w:val="32"/>
                <w:lang w:val="en-US" w:eastAsia="zh-CN"/>
              </w:rPr>
            </w:pPr>
            <w:r>
              <w:rPr>
                <w:rFonts w:ascii="Calibri" w:hAnsi="Calibri" w:cs="Calibri" w:eastAsiaTheme="minorEastAsia"/>
                <w:color w:val="000000"/>
                <w:szCs w:val="32"/>
              </w:rPr>
              <w:t>2022.6 - 202</w:t>
            </w:r>
            <w:r>
              <w:rPr>
                <w:rFonts w:hint="eastAsia" w:ascii="Calibri" w:hAnsi="Calibri" w:cs="Calibri" w:eastAsiaTheme="minorEastAsia"/>
                <w:color w:val="000000"/>
                <w:szCs w:val="32"/>
                <w:lang w:val="en-US" w:eastAsia="zh-CN"/>
              </w:rPr>
              <w:t>2</w:t>
            </w:r>
            <w:bookmarkStart w:id="1" w:name="_GoBack"/>
            <w:bookmarkEnd w:id="1"/>
            <w:r>
              <w:rPr>
                <w:rFonts w:ascii="Calibri" w:hAnsi="Calibri" w:cs="Calibri" w:eastAsiaTheme="minorEastAsia"/>
                <w:color w:val="000000"/>
                <w:szCs w:val="32"/>
              </w:rPr>
              <w:t>.</w:t>
            </w:r>
            <w:r>
              <w:rPr>
                <w:rFonts w:hint="eastAsia" w:ascii="Calibri" w:hAnsi="Calibri" w:cs="Calibri" w:eastAsiaTheme="minorEastAsia"/>
                <w:color w:val="000000"/>
                <w:szCs w:val="32"/>
                <w:lang w:val="en-US" w:eastAsia="zh-CN"/>
              </w:rPr>
              <w:t>9</w:t>
            </w:r>
          </w:p>
        </w:tc>
      </w:tr>
    </w:tbl>
    <w:p w14:paraId="797B82C8">
      <w:pPr>
        <w:spacing w:before="120" w:after="120" w:line="300" w:lineRule="exact"/>
        <w:rPr>
          <w:rFonts w:ascii="Arial" w:hAnsi="Arial" w:cs="Arial"/>
          <w:b/>
          <w:bCs/>
          <w:caps/>
          <w:color w:val="000000"/>
          <w:sz w:val="28"/>
          <w:szCs w:val="36"/>
        </w:rPr>
      </w:pPr>
      <w:r>
        <w:rPr>
          <w:rFonts w:ascii="Arial" w:hAnsi="Arial" w:cs="Arial" w:eastAsiaTheme="minorEastAsia"/>
          <w:b/>
          <w:bCs/>
          <w:caps/>
          <w:color w:val="000000"/>
          <w:sz w:val="28"/>
          <w:szCs w:val="36"/>
        </w:rPr>
        <w:t>Project Experience</w:t>
      </w:r>
    </w:p>
    <w:tbl>
      <w:tblPr>
        <w:tblStyle w:val="3"/>
        <w:tblpPr w:leftFromText="180" w:rightFromText="180" w:vertAnchor="text" w:horzAnchor="page" w:tblpXSpec="center" w:tblpY="89"/>
        <w:tblOverlap w:val="never"/>
        <w:tblW w:w="10399" w:type="dxa"/>
        <w:jc w:val="center"/>
        <w:tblBorders>
          <w:top w:val="single" w:color="auto" w:sz="12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8"/>
        <w:gridCol w:w="1911"/>
      </w:tblGrid>
      <w:tr w14:paraId="30B348F7">
        <w:trPr>
          <w:jc w:val="center"/>
        </w:trPr>
        <w:tc>
          <w:tcPr>
            <w:tcW w:w="8613" w:type="dxa"/>
            <w:tcBorders>
              <w:tl2br w:val="nil"/>
              <w:tr2bl w:val="nil"/>
            </w:tcBorders>
          </w:tcPr>
          <w:p w14:paraId="2B5ABF6D">
            <w:pPr>
              <w:widowControl w:val="0"/>
              <w:spacing w:line="320" w:lineRule="exact"/>
              <w:jc w:val="left"/>
              <w:rPr>
                <w:rFonts w:ascii="Calibri" w:hAnsi="Calibri" w:cs="Calibri"/>
                <w:sz w:val="28"/>
                <w:szCs w:val="36"/>
              </w:rPr>
            </w:pPr>
            <w:bookmarkStart w:id="0" w:name="OLE_LINK3"/>
            <w:r>
              <w:rPr>
                <w:rFonts w:ascii="Calibri" w:hAnsi="Calibri" w:eastAsia="黑体" w:cs="Calibri"/>
                <w:b/>
                <w:bCs/>
                <w:color w:val="000000"/>
                <w:sz w:val="28"/>
                <w:szCs w:val="36"/>
              </w:rPr>
              <w:t>Java Game Development - Race to the Raf</w:t>
            </w:r>
            <w:r>
              <w:rPr>
                <w:rFonts w:ascii="Calibri" w:hAnsi="Calibri" w:cs="Calibri"/>
                <w:b/>
                <w:bCs/>
                <w:sz w:val="28"/>
                <w:szCs w:val="36"/>
              </w:rPr>
              <w:t>t</w:t>
            </w:r>
          </w:p>
          <w:p w14:paraId="579A7033">
            <w:pPr>
              <w:widowControl w:val="0"/>
              <w:spacing w:line="340" w:lineRule="exact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 xml:space="preserve">Game Mechanics Implementation: </w:t>
            </w:r>
            <w:r>
              <w:rPr>
                <w:rFonts w:ascii="Calibri" w:hAnsi="Calibri" w:cs="Calibri"/>
              </w:rPr>
              <w:t>Developed game rules using Java, enabling interactive gameplay with cat movements, card placements, and fire tiles.</w:t>
            </w:r>
          </w:p>
          <w:p w14:paraId="5ACF370F">
            <w:pPr>
              <w:widowControl w:val="0"/>
              <w:spacing w:line="340" w:lineRule="exact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 xml:space="preserve">User Interface Design: </w:t>
            </w:r>
            <w:r>
              <w:rPr>
                <w:rFonts w:ascii="Calibri" w:hAnsi="Calibri" w:cs="Calibri"/>
              </w:rPr>
              <w:t>Designed an intuitive interface using JavaFX, facilitating seamless player actions.</w:t>
            </w:r>
          </w:p>
          <w:p w14:paraId="6A19CD41">
            <w:pPr>
              <w:widowControl w:val="0"/>
              <w:spacing w:line="340" w:lineRule="exact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 xml:space="preserve">Testing and Debugging: </w:t>
            </w:r>
            <w:r>
              <w:rPr>
                <w:rFonts w:ascii="Calibri" w:hAnsi="Calibri" w:cs="Calibri"/>
              </w:rPr>
              <w:t>Conducted testing to ensure game stability, achieving the game objective of guiding cats to the raft.</w:t>
            </w:r>
          </w:p>
        </w:tc>
        <w:tc>
          <w:tcPr>
            <w:tcW w:w="1786" w:type="dxa"/>
            <w:tcBorders>
              <w:tl2br w:val="nil"/>
              <w:tr2bl w:val="nil"/>
            </w:tcBorders>
          </w:tcPr>
          <w:p w14:paraId="74C96473">
            <w:pPr>
              <w:widowControl w:val="0"/>
              <w:spacing w:line="260" w:lineRule="exact"/>
              <w:jc w:val="right"/>
              <w:rPr>
                <w:rFonts w:ascii="Calibri" w:hAnsi="Calibri" w:cs="Calibri" w:eastAsiaTheme="minorEastAsia"/>
                <w:color w:val="000000"/>
                <w:szCs w:val="32"/>
              </w:rPr>
            </w:pPr>
          </w:p>
          <w:p w14:paraId="1E8273D6">
            <w:pPr>
              <w:widowControl w:val="0"/>
              <w:spacing w:line="260" w:lineRule="exact"/>
              <w:jc w:val="right"/>
              <w:rPr>
                <w:rFonts w:ascii="Calibri" w:hAnsi="Calibri" w:cs="Calibri" w:eastAsiaTheme="minorEastAsia"/>
                <w:color w:val="000000"/>
                <w:szCs w:val="32"/>
              </w:rPr>
            </w:pPr>
            <w:r>
              <w:rPr>
                <w:rFonts w:ascii="Calibri" w:hAnsi="Calibri" w:cs="Calibri" w:eastAsiaTheme="minorEastAsia"/>
                <w:color w:val="000000"/>
                <w:szCs w:val="32"/>
              </w:rPr>
              <w:t>2024.4-2024.11</w:t>
            </w:r>
          </w:p>
          <w:p w14:paraId="4B62D497">
            <w:pPr>
              <w:widowControl w:val="0"/>
              <w:spacing w:line="340" w:lineRule="exact"/>
              <w:jc w:val="right"/>
              <w:rPr>
                <w:rFonts w:ascii="Calibri" w:hAnsi="Calibri" w:cs="Calibri"/>
                <w:color w:val="000000"/>
                <w:szCs w:val="32"/>
              </w:rPr>
            </w:pPr>
          </w:p>
          <w:p w14:paraId="0DA29177">
            <w:pPr>
              <w:widowControl w:val="0"/>
              <w:spacing w:line="340" w:lineRule="exact"/>
              <w:jc w:val="right"/>
              <w:rPr>
                <w:rFonts w:ascii="Calibri" w:hAnsi="Calibri" w:cs="Calibri"/>
                <w:color w:val="000000"/>
                <w:szCs w:val="32"/>
              </w:rPr>
            </w:pPr>
          </w:p>
        </w:tc>
      </w:tr>
      <w:bookmarkEnd w:id="0"/>
    </w:tbl>
    <w:p w14:paraId="18BECB7D">
      <w:pPr>
        <w:widowControl w:val="0"/>
        <w:spacing w:before="120" w:after="120" w:line="300" w:lineRule="exact"/>
        <w:rPr>
          <w:rFonts w:ascii="Arial" w:hAnsi="Arial" w:cs="Arial"/>
          <w:b/>
          <w:bCs/>
          <w:caps/>
          <w:color w:val="000000"/>
          <w:sz w:val="28"/>
          <w:szCs w:val="36"/>
        </w:rPr>
      </w:pPr>
      <w:r>
        <w:rPr>
          <w:rFonts w:ascii="Arial" w:hAnsi="Arial" w:cs="Arial"/>
          <w:b/>
          <w:bCs/>
          <w:caps/>
          <w:color w:val="000000"/>
          <w:sz w:val="28"/>
          <w:szCs w:val="36"/>
        </w:rPr>
        <w:t xml:space="preserve">Awards </w:t>
      </w:r>
    </w:p>
    <w:tbl>
      <w:tblPr>
        <w:tblStyle w:val="3"/>
        <w:tblpPr w:leftFromText="180" w:rightFromText="180" w:vertAnchor="text" w:horzAnchor="page" w:tblpXSpec="center" w:tblpY="89"/>
        <w:tblOverlap w:val="never"/>
        <w:tblW w:w="0" w:type="auto"/>
        <w:jc w:val="center"/>
        <w:tblBorders>
          <w:top w:val="single" w:color="auto" w:sz="12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7"/>
      </w:tblGrid>
      <w:tr w14:paraId="7C2416A8">
        <w:trPr>
          <w:jc w:val="center"/>
        </w:trPr>
        <w:tc>
          <w:tcPr>
            <w:tcW w:w="10397" w:type="dxa"/>
            <w:tcBorders>
              <w:tl2br w:val="nil"/>
              <w:tr2bl w:val="nil"/>
            </w:tcBorders>
          </w:tcPr>
          <w:p w14:paraId="0806A936">
            <w:pPr>
              <w:widowControl w:val="0"/>
              <w:spacing w:line="340" w:lineRule="exact"/>
              <w:jc w:val="both"/>
              <w:rPr>
                <w:rFonts w:ascii="Calibri" w:hAnsi="Calibri" w:cs="Calibri"/>
                <w:szCs w:val="32"/>
              </w:rPr>
            </w:pPr>
            <w:r>
              <w:rPr>
                <w:rFonts w:hint="eastAsia" w:ascii="Calibri" w:hAnsi="Calibri" w:cs="Calibri"/>
                <w:szCs w:val="32"/>
              </w:rPr>
              <w:t>·</w:t>
            </w:r>
            <w:r>
              <w:rPr>
                <w:rFonts w:ascii="Calibri" w:hAnsi="Calibri" w:cs="Calibri"/>
                <w:szCs w:val="32"/>
              </w:rPr>
              <w:t>3rd Prize, "Zhixing Cup" Shanghai College Student Social Practice Competition (2021.11)</w:t>
            </w:r>
          </w:p>
          <w:p w14:paraId="02963DCF">
            <w:pPr>
              <w:widowControl w:val="0"/>
              <w:spacing w:line="340" w:lineRule="exact"/>
              <w:jc w:val="both"/>
              <w:rPr>
                <w:rFonts w:ascii="Calibri" w:hAnsi="Calibri" w:cs="Calibri"/>
                <w:szCs w:val="32"/>
              </w:rPr>
            </w:pPr>
            <w:r>
              <w:rPr>
                <w:rFonts w:hint="eastAsia" w:ascii="Calibri" w:hAnsi="Calibri" w:cs="Calibri"/>
                <w:szCs w:val="32"/>
              </w:rPr>
              <w:t>·</w:t>
            </w:r>
            <w:r>
              <w:rPr>
                <w:rFonts w:ascii="Calibri" w:hAnsi="Calibri" w:cs="Calibri"/>
                <w:szCs w:val="32"/>
              </w:rPr>
              <w:t>3rd Prize, Shanghai College Student National Security Education Micro-Video Competition (2021.4)</w:t>
            </w:r>
          </w:p>
          <w:p w14:paraId="58CDE2B9">
            <w:pPr>
              <w:widowControl w:val="0"/>
              <w:spacing w:line="340" w:lineRule="exact"/>
              <w:jc w:val="both"/>
              <w:rPr>
                <w:rFonts w:ascii="Calibri" w:hAnsi="Calibri" w:cs="Calibri"/>
                <w:szCs w:val="32"/>
              </w:rPr>
            </w:pPr>
            <w:r>
              <w:rPr>
                <w:rFonts w:hint="eastAsia" w:ascii="Calibri" w:hAnsi="Calibri" w:cs="Calibri"/>
                <w:szCs w:val="32"/>
              </w:rPr>
              <w:t>·</w:t>
            </w:r>
            <w:r>
              <w:rPr>
                <w:rFonts w:ascii="Calibri" w:hAnsi="Calibri" w:cs="Calibri"/>
                <w:szCs w:val="32"/>
              </w:rPr>
              <w:t>Excellence Award, 16th China Creativity Competition (Provincial Level, 2022.7) - UI</w:t>
            </w:r>
          </w:p>
          <w:p w14:paraId="2C8B6EBD">
            <w:pPr>
              <w:widowControl w:val="0"/>
              <w:spacing w:line="340" w:lineRule="exact"/>
              <w:jc w:val="both"/>
              <w:rPr>
                <w:rFonts w:hint="eastAsia" w:ascii="Calibri" w:hAnsi="Calibri" w:cs="Calibri"/>
                <w:szCs w:val="32"/>
              </w:rPr>
            </w:pPr>
            <w:r>
              <w:rPr>
                <w:rFonts w:hint="eastAsia" w:ascii="Calibri" w:hAnsi="Calibri" w:cs="Calibri"/>
                <w:szCs w:val="32"/>
              </w:rPr>
              <w:t>·</w:t>
            </w:r>
            <w:r>
              <w:rPr>
                <w:rFonts w:ascii="Calibri" w:hAnsi="Calibri" w:cs="Calibri"/>
                <w:szCs w:val="32"/>
              </w:rPr>
              <w:t>Awarded 5 times the Shanghai Ocean University People’s Scholarship and 4 Advanced Individual Awards (Outstanding Student &amp; Group Leader); recognized as an Outstanding Trainee of the Youth Marxist Project (Qingma Project).</w:t>
            </w:r>
          </w:p>
        </w:tc>
      </w:tr>
    </w:tbl>
    <w:p w14:paraId="0FF34F19">
      <w:pPr>
        <w:widowControl w:val="0"/>
        <w:spacing w:before="120" w:after="120" w:line="300" w:lineRule="exact"/>
        <w:rPr>
          <w:rFonts w:hint="eastAsia" w:ascii="Arial" w:hAnsi="Arial" w:cs="Arial"/>
          <w:b/>
          <w:bCs/>
          <w:caps/>
          <w:color w:val="000000"/>
          <w:sz w:val="28"/>
          <w:szCs w:val="36"/>
        </w:rPr>
      </w:pPr>
      <w:r>
        <w:rPr>
          <w:rFonts w:ascii="Arial" w:hAnsi="Arial" w:cs="Arial"/>
          <w:b/>
          <w:bCs/>
          <w:caps/>
          <w:color w:val="000000"/>
          <w:sz w:val="28"/>
          <w:szCs w:val="36"/>
        </w:rPr>
        <w:t>Skills/Certificates &amp; Others</w:t>
      </w:r>
    </w:p>
    <w:tbl>
      <w:tblPr>
        <w:tblStyle w:val="3"/>
        <w:tblpPr w:leftFromText="180" w:rightFromText="180" w:vertAnchor="text" w:horzAnchor="page" w:tblpXSpec="center" w:tblpY="89"/>
        <w:tblOverlap w:val="never"/>
        <w:tblW w:w="0" w:type="auto"/>
        <w:jc w:val="center"/>
        <w:tblBorders>
          <w:top w:val="single" w:color="auto" w:sz="12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8"/>
      </w:tblGrid>
      <w:tr w14:paraId="5873097D">
        <w:trPr>
          <w:jc w:val="center"/>
        </w:trPr>
        <w:tc>
          <w:tcPr>
            <w:tcW w:w="10348" w:type="dxa"/>
            <w:tcBorders>
              <w:tl2br w:val="nil"/>
              <w:tr2bl w:val="nil"/>
            </w:tcBorders>
          </w:tcPr>
          <w:p w14:paraId="31C8B419">
            <w:pPr>
              <w:widowControl w:val="0"/>
              <w:jc w:val="both"/>
              <w:rPr>
                <w:rFonts w:hint="eastAsia" w:ascii="Calibri" w:hAnsi="Calibri" w:cs="Calibri"/>
                <w:szCs w:val="32"/>
              </w:rPr>
            </w:pPr>
            <w:r>
              <w:rPr>
                <w:rFonts w:hint="eastAsia" w:ascii="Calibri" w:hAnsi="Calibri" w:cs="Calibri"/>
                <w:b/>
                <w:bCs/>
                <w:szCs w:val="32"/>
              </w:rPr>
              <w:t>·</w:t>
            </w:r>
            <w:r>
              <w:rPr>
                <w:rFonts w:ascii="Calibri" w:hAnsi="Calibri" w:cs="Calibri"/>
                <w:b/>
                <w:bCs/>
                <w:szCs w:val="32"/>
              </w:rPr>
              <w:t>Technical Skills</w:t>
            </w:r>
            <w:r>
              <w:rPr>
                <w:rFonts w:ascii="Calibri" w:hAnsi="Calibri" w:cs="Calibri"/>
                <w:szCs w:val="32"/>
              </w:rPr>
              <w:t>:</w:t>
            </w:r>
            <w:r>
              <w:t xml:space="preserve"> </w:t>
            </w:r>
            <w:r>
              <w:rPr>
                <w:rFonts w:ascii="Calibri" w:hAnsi="Calibri" w:cs="Calibri"/>
                <w:szCs w:val="32"/>
              </w:rPr>
              <w:t>Java, Python, SQL, Oracle, Web Development (HTML/CSS, JavaScript), UI Design, Photoshop, Premiere, Data Analysis (VLOOKUP, Pivot Tables)</w:t>
            </w:r>
          </w:p>
          <w:p w14:paraId="3BD43E9E">
            <w:pPr>
              <w:widowControl w:val="0"/>
              <w:jc w:val="both"/>
              <w:rPr>
                <w:rFonts w:hint="eastAsia" w:ascii="Calibri" w:hAnsi="Calibri" w:cs="Calibri"/>
                <w:szCs w:val="32"/>
              </w:rPr>
            </w:pPr>
            <w:r>
              <w:rPr>
                <w:rFonts w:hint="eastAsia" w:ascii="Calibri" w:hAnsi="Calibri" w:cs="Calibri"/>
                <w:b/>
                <w:bCs/>
                <w:szCs w:val="32"/>
              </w:rPr>
              <w:t>·</w:t>
            </w:r>
            <w:r>
              <w:rPr>
                <w:rFonts w:ascii="Calibri" w:hAnsi="Calibri" w:cs="Calibri"/>
                <w:b/>
                <w:bCs/>
                <w:szCs w:val="32"/>
              </w:rPr>
              <w:t>Major Courses</w:t>
            </w:r>
            <w:r>
              <w:rPr>
                <w:rFonts w:ascii="Calibri" w:hAnsi="Calibri" w:cs="Calibri"/>
                <w:szCs w:val="32"/>
              </w:rPr>
              <w:t>: Data Management, Requirements Analysis &amp; Modeling, Project Management, Dynamic Network Development, Organizational Behavior.</w:t>
            </w:r>
          </w:p>
        </w:tc>
      </w:tr>
    </w:tbl>
    <w:p w14:paraId="1614F128">
      <w:pPr>
        <w:rPr>
          <w:color w:val="000000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BF9"/>
    <w:rsid w:val="00403BF9"/>
    <w:rsid w:val="004B1ACC"/>
    <w:rsid w:val="005164AF"/>
    <w:rsid w:val="00716A41"/>
    <w:rsid w:val="0083095B"/>
    <w:rsid w:val="00CA01AA"/>
    <w:rsid w:val="00DE6315"/>
    <w:rsid w:val="00ED4EA5"/>
    <w:rsid w:val="00FE0DCA"/>
    <w:rsid w:val="00FE1FE0"/>
    <w:rsid w:val="10DA2E73"/>
    <w:rsid w:val="23F3011D"/>
    <w:rsid w:val="44265696"/>
    <w:rsid w:val="4E205E3F"/>
    <w:rsid w:val="6042254B"/>
    <w:rsid w:val="667658B8"/>
    <w:rsid w:val="69AC608C"/>
    <w:rsid w:val="7E502A7E"/>
    <w:rsid w:val="7F430628"/>
    <w:rsid w:val="FFB78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22"/>
    <w:rPr>
      <w:b/>
      <w:bCs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8875642D-71A1-DB4C-AC7E-C10AAB4B84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367</Words>
  <Characters>2093</Characters>
  <Lines>17</Lines>
  <Paragraphs>4</Paragraphs>
  <TotalTime>2</TotalTime>
  <ScaleCrop>false</ScaleCrop>
  <LinksUpToDate>false</LinksUpToDate>
  <CharactersWithSpaces>2456</CharactersWithSpaces>
  <Application>WPS Office_6.13.0.8707_F1E327BC-269C-435d-A152-05C5408002CA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2024-09-29T21:31:00Z</dcterms:created>
  <dc:creator>ff‘s iPad</dc:creator>
  <cp:lastModifiedBy>Runfeng</cp:lastModifiedBy>
  <cp:lastPrinted>2024-09-29T21:31:00Z</cp:lastPrinted>
  <dcterms:modified xsi:type="dcterms:W3CDTF">2025-04-17T15:12:59Z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2052-6.13.0.8707</vt:lpwstr>
  </property>
  <property fmtid="{D5CDD505-2E9C-101B-9397-08002B2CF9AE}" pid="3" name="ICV">
    <vt:lpwstr>D302C1CFB19DA4C9DB8D0068B60E29DF_42</vt:lpwstr>
  </property>
</Properties>
</file>