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97" w:type="dxa"/>
        <w:tblInd w:w="240" w:type="dxa"/>
        <w:tblLook w:val="04A0" w:firstRow="1" w:lastRow="0" w:firstColumn="1" w:lastColumn="0" w:noHBand="0" w:noVBand="1"/>
      </w:tblPr>
      <w:tblGrid>
        <w:gridCol w:w="3384"/>
        <w:gridCol w:w="1129"/>
        <w:gridCol w:w="1214"/>
        <w:gridCol w:w="1326"/>
        <w:gridCol w:w="4744"/>
      </w:tblGrid>
      <w:tr w:rsidR="004B5DB1" w14:paraId="76571B4E" w14:textId="24A054CC" w:rsidTr="005823C0">
        <w:tc>
          <w:tcPr>
            <w:tcW w:w="3384" w:type="dxa"/>
          </w:tcPr>
          <w:p w14:paraId="737136C9" w14:textId="3A89A759" w:rsidR="004B5DB1" w:rsidRDefault="004B5DB1">
            <w:pPr>
              <w:rPr>
                <w:rFonts w:hint="eastAsia"/>
              </w:rPr>
            </w:pPr>
            <w:r>
              <w:rPr>
                <w:rFonts w:hint="eastAsia"/>
              </w:rPr>
              <w:t>Ci</w:t>
            </w:r>
            <w:r>
              <w:t xml:space="preserve">ted Reason </w:t>
            </w:r>
          </w:p>
        </w:tc>
        <w:tc>
          <w:tcPr>
            <w:tcW w:w="1129" w:type="dxa"/>
          </w:tcPr>
          <w:p w14:paraId="27317631" w14:textId="5E18AB51" w:rsidR="004B5DB1" w:rsidRDefault="004B5DB1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214" w:type="dxa"/>
          </w:tcPr>
          <w:p w14:paraId="2F9006A6" w14:textId="245B4E70" w:rsidR="004B5DB1" w:rsidRDefault="004B5DB1">
            <w:r>
              <w:rPr>
                <w:rFonts w:hint="eastAsia"/>
              </w:rPr>
              <w:t>J</w:t>
            </w:r>
            <w:r>
              <w:t>ournal</w:t>
            </w:r>
          </w:p>
        </w:tc>
        <w:tc>
          <w:tcPr>
            <w:tcW w:w="1326" w:type="dxa"/>
          </w:tcPr>
          <w:p w14:paraId="435BE7C5" w14:textId="33474A89" w:rsidR="004B5DB1" w:rsidRDefault="004B5DB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4744" w:type="dxa"/>
          </w:tcPr>
          <w:p w14:paraId="35E1D979" w14:textId="2F2EBC63" w:rsidR="004B5DB1" w:rsidRDefault="004B5DB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ain Conclusion </w:t>
            </w:r>
            <w:r>
              <w:rPr>
                <w:rFonts w:hint="eastAsia"/>
              </w:rPr>
              <w:t>/</w:t>
            </w:r>
            <w:r>
              <w:t xml:space="preserve"> Cited part</w:t>
            </w:r>
          </w:p>
        </w:tc>
      </w:tr>
      <w:tr w:rsidR="004B5DB1" w14:paraId="5E986669" w14:textId="3460B5BF" w:rsidTr="00202C98">
        <w:tc>
          <w:tcPr>
            <w:tcW w:w="3384" w:type="dxa"/>
            <w:vAlign w:val="center"/>
          </w:tcPr>
          <w:p w14:paraId="639C5F8F" w14:textId="2B245695" w:rsidR="004B5DB1" w:rsidRDefault="004B5DB1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esting the Assumption that is untested</w:t>
            </w:r>
          </w:p>
        </w:tc>
        <w:tc>
          <w:tcPr>
            <w:tcW w:w="1129" w:type="dxa"/>
            <w:vAlign w:val="center"/>
          </w:tcPr>
          <w:p w14:paraId="5C88D2AC" w14:textId="594FC098" w:rsidR="004B5DB1" w:rsidRDefault="004B5DB1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007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0806EA07" w14:textId="120CBC59" w:rsidR="004B5DB1" w:rsidRDefault="004B5DB1" w:rsidP="00202C98">
            <w:pPr>
              <w:jc w:val="center"/>
            </w:pPr>
            <w:r>
              <w:rPr>
                <w:rFonts w:hint="eastAsia"/>
              </w:rPr>
              <w:t>JFE</w:t>
            </w:r>
          </w:p>
        </w:tc>
        <w:tc>
          <w:tcPr>
            <w:tcW w:w="1326" w:type="dxa"/>
            <w:vAlign w:val="center"/>
          </w:tcPr>
          <w:p w14:paraId="0C4CC458" w14:textId="289BAA98" w:rsidR="004B5DB1" w:rsidRDefault="004B5DB1" w:rsidP="00202C98">
            <w:pPr>
              <w:jc w:val="center"/>
            </w:pPr>
            <w:proofErr w:type="spellStart"/>
            <w:r w:rsidRPr="000B5885">
              <w:t>Fama</w:t>
            </w:r>
            <w:proofErr w:type="spellEnd"/>
            <w:r w:rsidRPr="000B5885">
              <w:t xml:space="preserve"> and French</w:t>
            </w:r>
          </w:p>
        </w:tc>
        <w:tc>
          <w:tcPr>
            <w:tcW w:w="4744" w:type="dxa"/>
            <w:vAlign w:val="center"/>
          </w:tcPr>
          <w:p w14:paraId="7D294277" w14:textId="487155F4" w:rsidR="004B5DB1" w:rsidRPr="000B5885" w:rsidRDefault="004B5DB1" w:rsidP="00202C98">
            <w:pPr>
              <w:jc w:val="center"/>
            </w:pPr>
            <w:r w:rsidRPr="000B5885">
              <w:t>provide framework for studying how disagreement and tastes for assets as consumption goods can affect asset prices</w:t>
            </w:r>
          </w:p>
        </w:tc>
      </w:tr>
      <w:tr w:rsidR="004B5DB1" w14:paraId="0735DD75" w14:textId="32E7C684" w:rsidTr="00202C98">
        <w:tc>
          <w:tcPr>
            <w:tcW w:w="3384" w:type="dxa"/>
            <w:vMerge w:val="restart"/>
            <w:vAlign w:val="center"/>
          </w:tcPr>
          <w:p w14:paraId="6000AD18" w14:textId="77777777" w:rsidR="004B5DB1" w:rsidRDefault="004B5DB1" w:rsidP="00202C98">
            <w:pPr>
              <w:jc w:val="center"/>
            </w:pPr>
            <w:r>
              <w:rPr>
                <w:rFonts w:hint="eastAsia"/>
              </w:rPr>
              <w:t>Cl</w:t>
            </w:r>
            <w:r>
              <w:t>aim that the result of previous research had little to do with the WTP of Investor</w:t>
            </w:r>
          </w:p>
          <w:p w14:paraId="16F58ED7" w14:textId="4DDDD667" w:rsidR="004B5DB1" w:rsidRDefault="004B5DB1" w:rsidP="00202C98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都強調投資人的非金錢目的，但並無正式探討投資人的</w:t>
            </w:r>
            <w:r>
              <w:rPr>
                <w:rFonts w:hint="eastAsia"/>
              </w:rPr>
              <w:t>t</w:t>
            </w:r>
            <w:r>
              <w:t>rade off)</w:t>
            </w:r>
          </w:p>
        </w:tc>
        <w:tc>
          <w:tcPr>
            <w:tcW w:w="1129" w:type="dxa"/>
            <w:vMerge w:val="restart"/>
            <w:vAlign w:val="center"/>
          </w:tcPr>
          <w:p w14:paraId="36BCDEEC" w14:textId="010AD0B6" w:rsidR="004B5DB1" w:rsidRDefault="004B5DB1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1214" w:type="dxa"/>
            <w:tcBorders>
              <w:tl2br w:val="single" w:sz="4" w:space="0" w:color="auto"/>
            </w:tcBorders>
            <w:vAlign w:val="center"/>
          </w:tcPr>
          <w:p w14:paraId="06C0E705" w14:textId="77777777" w:rsidR="004B5DB1" w:rsidRDefault="004B5DB1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316B68C9" w14:textId="3E936A71" w:rsidR="004B5DB1" w:rsidRPr="000B5885" w:rsidRDefault="004B5DB1" w:rsidP="00202C98">
            <w:pPr>
              <w:jc w:val="center"/>
            </w:pPr>
            <w:proofErr w:type="spellStart"/>
            <w:r w:rsidRPr="00136D62">
              <w:t>Bialkowski</w:t>
            </w:r>
            <w:proofErr w:type="spellEnd"/>
            <w:r w:rsidRPr="00136D62">
              <w:t xml:space="preserve"> and Starks</w:t>
            </w:r>
          </w:p>
        </w:tc>
        <w:tc>
          <w:tcPr>
            <w:tcW w:w="4744" w:type="dxa"/>
            <w:vAlign w:val="center"/>
          </w:tcPr>
          <w:p w14:paraId="00B79664" w14:textId="0B4FBBE3" w:rsidR="004B5DB1" w:rsidRPr="00F01E5D" w:rsidRDefault="004B5DB1" w:rsidP="00202C98">
            <w:pPr>
              <w:jc w:val="center"/>
            </w:pPr>
            <w:r w:rsidRPr="00F01E5D">
              <w:t>SRI funds have shown greater growth and more persistence than flows to conventional funds</w:t>
            </w:r>
          </w:p>
        </w:tc>
      </w:tr>
      <w:tr w:rsidR="004B5DB1" w14:paraId="69791DDC" w14:textId="1E11250A" w:rsidTr="00202C98">
        <w:tc>
          <w:tcPr>
            <w:tcW w:w="3384" w:type="dxa"/>
            <w:vMerge/>
            <w:vAlign w:val="center"/>
          </w:tcPr>
          <w:p w14:paraId="6ADBCD10" w14:textId="77777777" w:rsidR="004B5DB1" w:rsidRDefault="004B5DB1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Merge/>
            <w:vAlign w:val="center"/>
          </w:tcPr>
          <w:p w14:paraId="10D643AE" w14:textId="657594D6" w:rsidR="004B5DB1" w:rsidRDefault="004B5DB1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14:paraId="06EF2EA0" w14:textId="2F6E6B94" w:rsidR="004B5DB1" w:rsidRDefault="004B5DB1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F</w:t>
            </w:r>
          </w:p>
        </w:tc>
        <w:tc>
          <w:tcPr>
            <w:tcW w:w="1326" w:type="dxa"/>
            <w:vAlign w:val="center"/>
          </w:tcPr>
          <w:p w14:paraId="20DC5D62" w14:textId="6D0EF3EE" w:rsidR="004B5DB1" w:rsidRPr="000B5885" w:rsidRDefault="004B5DB1" w:rsidP="00202C98">
            <w:pPr>
              <w:jc w:val="center"/>
            </w:pPr>
            <w:proofErr w:type="spellStart"/>
            <w:r w:rsidRPr="00C829D0">
              <w:t>Riedl</w:t>
            </w:r>
            <w:proofErr w:type="spellEnd"/>
            <w:r w:rsidRPr="00C829D0">
              <w:t xml:space="preserve"> and </w:t>
            </w:r>
            <w:proofErr w:type="spellStart"/>
            <w:r w:rsidRPr="00C829D0">
              <w:t>Smeets</w:t>
            </w:r>
            <w:proofErr w:type="spellEnd"/>
          </w:p>
        </w:tc>
        <w:tc>
          <w:tcPr>
            <w:tcW w:w="4744" w:type="dxa"/>
            <w:tcBorders>
              <w:bottom w:val="single" w:sz="4" w:space="0" w:color="auto"/>
            </w:tcBorders>
            <w:vAlign w:val="center"/>
          </w:tcPr>
          <w:p w14:paraId="12C6B8A5" w14:textId="7345FAF4" w:rsidR="004B5DB1" w:rsidRPr="002C6A3D" w:rsidRDefault="004B5DB1" w:rsidP="00202C98">
            <w:pPr>
              <w:jc w:val="center"/>
            </w:pPr>
            <w:r w:rsidRPr="002C6A3D">
              <w:t>both social preferences and social signaling explain socially responsible investment (SRI) decisions</w:t>
            </w:r>
          </w:p>
        </w:tc>
      </w:tr>
      <w:tr w:rsidR="004B5DB1" w14:paraId="1BD78CF9" w14:textId="6CA63FE8" w:rsidTr="00202C98">
        <w:tc>
          <w:tcPr>
            <w:tcW w:w="3384" w:type="dxa"/>
            <w:vAlign w:val="center"/>
          </w:tcPr>
          <w:p w14:paraId="30AF8939" w14:textId="77777777" w:rsidR="004B5DB1" w:rsidRDefault="004B5DB1" w:rsidP="00202C98">
            <w:pPr>
              <w:jc w:val="center"/>
            </w:pPr>
            <w:r>
              <w:rPr>
                <w:rFonts w:hint="eastAsia"/>
              </w:rPr>
              <w:t>I</w:t>
            </w:r>
            <w:r>
              <w:t>nspiration of using hedonic pricing techniques, which is a tool</w:t>
            </w:r>
            <w:r w:rsidRPr="00E65A94">
              <w:t xml:space="preserve"> for estimating implicit prices of attributes that a good possesses</w:t>
            </w:r>
          </w:p>
          <w:p w14:paraId="575A9DEC" w14:textId="59302859" w:rsidR="004B5DB1" w:rsidRDefault="004B5DB1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ESG</w:t>
            </w:r>
            <w:r>
              <w:rPr>
                <w:rFonts w:hint="eastAsia"/>
              </w:rPr>
              <w:t>主題較為無關，單純因為方法而引用，故僅以這篇文章代表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  <w:vAlign w:val="center"/>
          </w:tcPr>
          <w:p w14:paraId="3B32E4B1" w14:textId="0D56D5F4" w:rsidR="004B5DB1" w:rsidRDefault="004B5DB1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214" w:type="dxa"/>
            <w:vAlign w:val="center"/>
          </w:tcPr>
          <w:p w14:paraId="2A7C2707" w14:textId="71180AEC" w:rsidR="004B5DB1" w:rsidRDefault="004B5DB1" w:rsidP="00202C98">
            <w:pPr>
              <w:jc w:val="center"/>
              <w:rPr>
                <w:rFonts w:hint="eastAsia"/>
              </w:rPr>
            </w:pPr>
            <w:hyperlink r:id="rId6" w:history="1">
              <w:r w:rsidRPr="001C4C9B">
                <w:t>Marketing Letters</w:t>
              </w:r>
            </w:hyperlink>
          </w:p>
        </w:tc>
        <w:tc>
          <w:tcPr>
            <w:tcW w:w="1326" w:type="dxa"/>
            <w:vAlign w:val="center"/>
          </w:tcPr>
          <w:p w14:paraId="77F21161" w14:textId="52771258" w:rsidR="004B5DB1" w:rsidRPr="00C829D0" w:rsidRDefault="004B5DB1" w:rsidP="00202C98">
            <w:pPr>
              <w:jc w:val="center"/>
            </w:pPr>
            <w:hyperlink r:id="rId7" w:anchor="auth-Joel-Huber" w:history="1">
              <w:r w:rsidRPr="00924E9D">
                <w:t>Joel</w:t>
              </w:r>
              <w:r>
                <w:t xml:space="preserve"> </w:t>
              </w:r>
              <w:r w:rsidRPr="00924E9D">
                <w:t>Huber</w:t>
              </w:r>
            </w:hyperlink>
            <w:r>
              <w:t xml:space="preserve"> </w:t>
            </w:r>
            <w:r w:rsidRPr="00924E9D">
              <w:t xml:space="preserve">&amp; </w:t>
            </w:r>
            <w:hyperlink r:id="rId8" w:anchor="auth-Kenneth-Train" w:history="1">
              <w:r w:rsidRPr="00924E9D">
                <w:t>Kenneth Train</w:t>
              </w:r>
            </w:hyperlink>
          </w:p>
        </w:tc>
        <w:tc>
          <w:tcPr>
            <w:tcW w:w="4744" w:type="dxa"/>
            <w:tcBorders>
              <w:tl2br w:val="single" w:sz="4" w:space="0" w:color="auto"/>
            </w:tcBorders>
            <w:vAlign w:val="center"/>
          </w:tcPr>
          <w:p w14:paraId="40EEA50C" w14:textId="77777777" w:rsidR="004B5DB1" w:rsidRPr="002C6A3D" w:rsidRDefault="004B5DB1" w:rsidP="00202C98">
            <w:pPr>
              <w:jc w:val="center"/>
            </w:pPr>
          </w:p>
        </w:tc>
      </w:tr>
    </w:tbl>
    <w:p w14:paraId="1DFFD940" w14:textId="77777777" w:rsidR="0019794F" w:rsidRDefault="0019794F">
      <w:r>
        <w:br w:type="page"/>
      </w:r>
    </w:p>
    <w:tbl>
      <w:tblPr>
        <w:tblStyle w:val="a3"/>
        <w:tblW w:w="11797" w:type="dxa"/>
        <w:tblInd w:w="240" w:type="dxa"/>
        <w:tblLook w:val="04A0" w:firstRow="1" w:lastRow="0" w:firstColumn="1" w:lastColumn="0" w:noHBand="0" w:noVBand="1"/>
      </w:tblPr>
      <w:tblGrid>
        <w:gridCol w:w="3384"/>
        <w:gridCol w:w="1129"/>
        <w:gridCol w:w="1214"/>
        <w:gridCol w:w="1326"/>
        <w:gridCol w:w="4744"/>
      </w:tblGrid>
      <w:tr w:rsidR="001B18D5" w14:paraId="50CDC80E" w14:textId="1E3EA609" w:rsidTr="00202C98">
        <w:tc>
          <w:tcPr>
            <w:tcW w:w="3384" w:type="dxa"/>
            <w:vMerge w:val="restart"/>
            <w:vAlign w:val="center"/>
          </w:tcPr>
          <w:p w14:paraId="44E1A1ED" w14:textId="2D32043E" w:rsidR="001B18D5" w:rsidRDefault="001B18D5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 xml:space="preserve">rticle that provides investors non </w:t>
            </w:r>
            <w:r w:rsidRPr="0005448D">
              <w:t>pecuniary</w:t>
            </w:r>
            <w:r w:rsidRPr="0005448D">
              <w:t xml:space="preserve"> motivation</w:t>
            </w:r>
          </w:p>
        </w:tc>
        <w:tc>
          <w:tcPr>
            <w:tcW w:w="1129" w:type="dxa"/>
            <w:vAlign w:val="center"/>
          </w:tcPr>
          <w:p w14:paraId="2A785B60" w14:textId="4A694DFC" w:rsidR="001B18D5" w:rsidRDefault="001B18D5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1214" w:type="dxa"/>
            <w:vMerge w:val="restart"/>
            <w:vAlign w:val="center"/>
          </w:tcPr>
          <w:p w14:paraId="66563DA0" w14:textId="7C33C8E2" w:rsidR="001B18D5" w:rsidRDefault="001B18D5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BF</w:t>
            </w:r>
          </w:p>
        </w:tc>
        <w:tc>
          <w:tcPr>
            <w:tcW w:w="1326" w:type="dxa"/>
            <w:vAlign w:val="center"/>
          </w:tcPr>
          <w:p w14:paraId="15871578" w14:textId="42AA1AAC" w:rsidR="001B18D5" w:rsidRPr="00C829D0" w:rsidRDefault="001B18D5" w:rsidP="00202C98">
            <w:pPr>
              <w:jc w:val="center"/>
            </w:pPr>
            <w:r w:rsidRPr="00205184">
              <w:t>Benson and Humphrey</w:t>
            </w:r>
          </w:p>
        </w:tc>
        <w:tc>
          <w:tcPr>
            <w:tcW w:w="4744" w:type="dxa"/>
            <w:vMerge w:val="restart"/>
            <w:vAlign w:val="center"/>
          </w:tcPr>
          <w:p w14:paraId="64747797" w14:textId="0CEA6185" w:rsidR="001B18D5" w:rsidRPr="00205184" w:rsidRDefault="001B18D5" w:rsidP="00202C98">
            <w:pPr>
              <w:jc w:val="center"/>
            </w:pPr>
            <w:r w:rsidRPr="00205184">
              <w:t>SRI fund</w:t>
            </w:r>
            <w:r w:rsidRPr="00205184">
              <w:br/>
              <w:t>flows are less sensitive to performance than non-SRI flows</w:t>
            </w:r>
          </w:p>
        </w:tc>
      </w:tr>
      <w:tr w:rsidR="001B18D5" w14:paraId="3E4CADEF" w14:textId="631CD144" w:rsidTr="00202C98">
        <w:tc>
          <w:tcPr>
            <w:tcW w:w="3384" w:type="dxa"/>
            <w:vMerge/>
            <w:vAlign w:val="center"/>
          </w:tcPr>
          <w:p w14:paraId="70336AC4" w14:textId="77777777" w:rsidR="001B18D5" w:rsidRDefault="001B18D5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 w14:paraId="34759FC4" w14:textId="1F0DD1B9" w:rsidR="001B18D5" w:rsidRDefault="001B18D5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011</w:t>
            </w:r>
          </w:p>
        </w:tc>
        <w:tc>
          <w:tcPr>
            <w:tcW w:w="1214" w:type="dxa"/>
            <w:vMerge/>
            <w:tcBorders>
              <w:bottom w:val="single" w:sz="4" w:space="0" w:color="auto"/>
            </w:tcBorders>
            <w:vAlign w:val="center"/>
          </w:tcPr>
          <w:p w14:paraId="1F7EE99D" w14:textId="73BE6DCE" w:rsidR="001B18D5" w:rsidRDefault="001B18D5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62D4E37B" w14:textId="25DB248A" w:rsidR="001B18D5" w:rsidRPr="00C829D0" w:rsidRDefault="001B18D5" w:rsidP="00202C98">
            <w:pPr>
              <w:jc w:val="center"/>
            </w:pPr>
            <w:proofErr w:type="spellStart"/>
            <w:r w:rsidRPr="00205184">
              <w:t>Renneboog</w:t>
            </w:r>
            <w:proofErr w:type="spellEnd"/>
            <w:r w:rsidRPr="00205184">
              <w:t xml:space="preserve"> et al</w:t>
            </w:r>
          </w:p>
        </w:tc>
        <w:tc>
          <w:tcPr>
            <w:tcW w:w="4744" w:type="dxa"/>
            <w:vMerge/>
            <w:vAlign w:val="center"/>
          </w:tcPr>
          <w:p w14:paraId="63950FBE" w14:textId="77777777" w:rsidR="001B18D5" w:rsidRPr="002C6A3D" w:rsidRDefault="001B18D5" w:rsidP="00202C98">
            <w:pPr>
              <w:jc w:val="center"/>
            </w:pPr>
          </w:p>
        </w:tc>
      </w:tr>
      <w:tr w:rsidR="001B18D5" w14:paraId="45C498FF" w14:textId="6889D765" w:rsidTr="00202C98">
        <w:tc>
          <w:tcPr>
            <w:tcW w:w="3384" w:type="dxa"/>
            <w:vMerge/>
            <w:vAlign w:val="center"/>
          </w:tcPr>
          <w:p w14:paraId="62A3797F" w14:textId="77777777" w:rsidR="001B18D5" w:rsidRDefault="001B18D5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 w14:paraId="2B63E682" w14:textId="7F93C2C2" w:rsidR="001B18D5" w:rsidRDefault="001B18D5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1214" w:type="dxa"/>
            <w:tcBorders>
              <w:tl2br w:val="single" w:sz="4" w:space="0" w:color="auto"/>
            </w:tcBorders>
            <w:vAlign w:val="center"/>
          </w:tcPr>
          <w:p w14:paraId="328EDF65" w14:textId="77777777" w:rsidR="001B18D5" w:rsidRDefault="001B18D5" w:rsidP="00202C98">
            <w:pPr>
              <w:jc w:val="center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2E1CFB30" w14:textId="28BEA355" w:rsidR="001B18D5" w:rsidRPr="00C829D0" w:rsidRDefault="001B18D5" w:rsidP="00202C98">
            <w:pPr>
              <w:jc w:val="center"/>
            </w:pPr>
            <w:proofErr w:type="spellStart"/>
            <w:r w:rsidRPr="00205184">
              <w:t>Bialkowski</w:t>
            </w:r>
            <w:proofErr w:type="spellEnd"/>
            <w:r w:rsidRPr="00205184">
              <w:t xml:space="preserve"> and Starks</w:t>
            </w:r>
          </w:p>
        </w:tc>
        <w:tc>
          <w:tcPr>
            <w:tcW w:w="4744" w:type="dxa"/>
            <w:vMerge/>
            <w:vAlign w:val="center"/>
          </w:tcPr>
          <w:p w14:paraId="0B1922B3" w14:textId="77777777" w:rsidR="001B18D5" w:rsidRPr="002C6A3D" w:rsidRDefault="001B18D5" w:rsidP="00202C98">
            <w:pPr>
              <w:jc w:val="center"/>
            </w:pPr>
          </w:p>
        </w:tc>
      </w:tr>
      <w:tr w:rsidR="006B1660" w14:paraId="7136C686" w14:textId="5E54DACF" w:rsidTr="00202C98">
        <w:tc>
          <w:tcPr>
            <w:tcW w:w="3384" w:type="dxa"/>
            <w:vMerge w:val="restart"/>
            <w:vAlign w:val="center"/>
          </w:tcPr>
          <w:p w14:paraId="1A38D6E0" w14:textId="3D07AD82" w:rsidR="006B1660" w:rsidRDefault="006B1660" w:rsidP="00202C98">
            <w:pPr>
              <w:jc w:val="center"/>
            </w:pPr>
            <w:r>
              <w:rPr>
                <w:rFonts w:hint="eastAsia"/>
              </w:rPr>
              <w:t>Ar</w:t>
            </w:r>
            <w:r>
              <w:t xml:space="preserve">ticle that </w:t>
            </w:r>
            <w:proofErr w:type="gramStart"/>
            <w:r>
              <w:t>show</w:t>
            </w:r>
            <w:proofErr w:type="gramEnd"/>
            <w:r>
              <w:t xml:space="preserve"> similar or supporting result</w:t>
            </w:r>
          </w:p>
          <w:p w14:paraId="1C85735B" w14:textId="6A983183" w:rsidR="006B1660" w:rsidRDefault="006B1660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rticle that </w:t>
            </w:r>
            <w:proofErr w:type="gramStart"/>
            <w:r>
              <w:t>show</w:t>
            </w:r>
            <w:proofErr w:type="gramEnd"/>
            <w:r>
              <w:t xml:space="preserve"> contradictory result</w:t>
            </w:r>
          </w:p>
        </w:tc>
        <w:tc>
          <w:tcPr>
            <w:tcW w:w="1129" w:type="dxa"/>
            <w:vAlign w:val="center"/>
          </w:tcPr>
          <w:p w14:paraId="4E6D9D9C" w14:textId="3478E211" w:rsidR="006B1660" w:rsidRDefault="006B1660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1214" w:type="dxa"/>
            <w:vAlign w:val="center"/>
          </w:tcPr>
          <w:p w14:paraId="5E445BA3" w14:textId="6BB04DE5" w:rsidR="006B1660" w:rsidRDefault="006B1660" w:rsidP="00202C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eview of Financial study</w:t>
            </w:r>
          </w:p>
        </w:tc>
        <w:tc>
          <w:tcPr>
            <w:tcW w:w="1326" w:type="dxa"/>
            <w:vAlign w:val="center"/>
          </w:tcPr>
          <w:p w14:paraId="7F7C609D" w14:textId="6C704C8D" w:rsidR="006B1660" w:rsidRPr="00C829D0" w:rsidRDefault="006B1660" w:rsidP="00202C98">
            <w:pPr>
              <w:jc w:val="center"/>
            </w:pPr>
            <w:r w:rsidRPr="00FB2896">
              <w:t xml:space="preserve">Hochberg and </w:t>
            </w:r>
            <w:proofErr w:type="spellStart"/>
            <w:r w:rsidRPr="00FB2896">
              <w:t>Rauh</w:t>
            </w:r>
            <w:proofErr w:type="spellEnd"/>
          </w:p>
        </w:tc>
        <w:tc>
          <w:tcPr>
            <w:tcW w:w="4744" w:type="dxa"/>
            <w:vMerge w:val="restart"/>
            <w:vAlign w:val="center"/>
          </w:tcPr>
          <w:p w14:paraId="7C7DBFD4" w14:textId="65A94C31" w:rsidR="006B1660" w:rsidRPr="002C6A3D" w:rsidRDefault="006B1660" w:rsidP="00202C98">
            <w:pPr>
              <w:jc w:val="center"/>
            </w:pPr>
            <w:r w:rsidRPr="00E56F13">
              <w:t>tendency for state pensions in the US to prefer investments within their home state</w:t>
            </w:r>
            <w:r>
              <w:t xml:space="preserve"> </w:t>
            </w:r>
            <w:r w:rsidRPr="00E56F13">
              <w:t>(</w:t>
            </w:r>
            <w:r>
              <w:t xml:space="preserve">Corresponding to </w:t>
            </w:r>
            <w:r w:rsidRPr="00E56F13">
              <w:t xml:space="preserve">Public pension </w:t>
            </w:r>
            <w:proofErr w:type="spellStart"/>
            <w:r w:rsidRPr="00E56F13">
              <w:t>f</w:t>
            </w:r>
            <w:r>
              <w:t>p</w:t>
            </w:r>
            <w:r w:rsidRPr="00E56F13">
              <w:t>nds</w:t>
            </w:r>
            <w:proofErr w:type="spellEnd"/>
            <w:r w:rsidRPr="00E56F13">
              <w:t xml:space="preserve"> have a high WTP for impact)</w:t>
            </w:r>
          </w:p>
          <w:p w14:paraId="785B105C" w14:textId="7F353148" w:rsidR="006B1660" w:rsidRPr="00E56F13" w:rsidRDefault="006B1660" w:rsidP="00202C98">
            <w:pPr>
              <w:jc w:val="center"/>
            </w:pPr>
            <w:r w:rsidRPr="003F0304">
              <w:t>both signaling and preferences explain investors</w:t>
            </w:r>
            <w:proofErr w:type="gramStart"/>
            <w:r w:rsidRPr="003F0304">
              <w:t>’</w:t>
            </w:r>
            <w:proofErr w:type="gramEnd"/>
            <w:r w:rsidRPr="003F0304">
              <w:t xml:space="preserve"> SRI</w:t>
            </w:r>
            <w:r w:rsidRPr="003F0304">
              <w:br/>
              <w:t>decisions</w:t>
            </w:r>
            <w:r w:rsidRPr="003F0304">
              <w:t xml:space="preserve"> (In contrast to </w:t>
            </w:r>
            <w:r w:rsidRPr="003F0304">
              <w:t>Pressure may be more driven by the signaling benefits or regulatory compliance</w:t>
            </w:r>
            <w:r w:rsidRPr="003F0304">
              <w:t xml:space="preserve"> </w:t>
            </w:r>
            <w:proofErr w:type="spellStart"/>
            <w:r w:rsidRPr="003F0304">
              <w:t>i.e</w:t>
            </w:r>
            <w:proofErr w:type="spellEnd"/>
            <w:r w:rsidRPr="003F0304">
              <w:t xml:space="preserve"> </w:t>
            </w:r>
            <w:r w:rsidRPr="003F0304">
              <w:rPr>
                <w:rFonts w:hint="eastAsia"/>
              </w:rPr>
              <w:t>非消費者對</w:t>
            </w:r>
            <w:r w:rsidRPr="003F0304">
              <w:rPr>
                <w:rFonts w:hint="eastAsia"/>
              </w:rPr>
              <w:t>i</w:t>
            </w:r>
            <w:r w:rsidRPr="003F0304">
              <w:t xml:space="preserve">mpact </w:t>
            </w:r>
            <w:r w:rsidRPr="003F0304">
              <w:rPr>
                <w:rFonts w:hint="eastAsia"/>
              </w:rPr>
              <w:t>的偏好</w:t>
            </w:r>
            <w:r w:rsidRPr="003F0304">
              <w:t>)</w:t>
            </w:r>
          </w:p>
        </w:tc>
      </w:tr>
      <w:tr w:rsidR="006B1660" w14:paraId="4816CC3B" w14:textId="588F9F78" w:rsidTr="00202C98">
        <w:tc>
          <w:tcPr>
            <w:tcW w:w="3384" w:type="dxa"/>
            <w:vMerge/>
          </w:tcPr>
          <w:p w14:paraId="14A91C7F" w14:textId="4E5920B5" w:rsidR="006B1660" w:rsidRDefault="006B1660" w:rsidP="003B23B5">
            <w:pPr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 w14:paraId="1B870515" w14:textId="46A720FB" w:rsidR="006B1660" w:rsidRDefault="006B1660" w:rsidP="003B23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214" w:type="dxa"/>
            <w:vAlign w:val="center"/>
          </w:tcPr>
          <w:p w14:paraId="25DAB246" w14:textId="26917AA7" w:rsidR="006B1660" w:rsidRDefault="006B1660" w:rsidP="003B23B5">
            <w:pPr>
              <w:rPr>
                <w:rFonts w:hint="eastAsia"/>
              </w:rPr>
            </w:pPr>
            <w:r>
              <w:rPr>
                <w:rFonts w:hint="eastAsia"/>
              </w:rPr>
              <w:t>JF</w:t>
            </w:r>
          </w:p>
        </w:tc>
        <w:tc>
          <w:tcPr>
            <w:tcW w:w="1326" w:type="dxa"/>
            <w:vAlign w:val="center"/>
          </w:tcPr>
          <w:p w14:paraId="51F5F162" w14:textId="31C2BB40" w:rsidR="006B1660" w:rsidRPr="00FB2896" w:rsidRDefault="006B1660" w:rsidP="003B23B5">
            <w:proofErr w:type="spellStart"/>
            <w:r w:rsidRPr="004D3168">
              <w:t>Riedl</w:t>
            </w:r>
            <w:proofErr w:type="spellEnd"/>
            <w:r w:rsidRPr="004D3168">
              <w:t xml:space="preserve"> and </w:t>
            </w:r>
            <w:proofErr w:type="spellStart"/>
            <w:r w:rsidRPr="004D3168">
              <w:t>Smeets</w:t>
            </w:r>
            <w:proofErr w:type="spellEnd"/>
          </w:p>
        </w:tc>
        <w:tc>
          <w:tcPr>
            <w:tcW w:w="4744" w:type="dxa"/>
            <w:vMerge/>
          </w:tcPr>
          <w:p w14:paraId="18E596C9" w14:textId="2C297546" w:rsidR="006B1660" w:rsidRPr="003F0304" w:rsidRDefault="006B1660" w:rsidP="003B23B5"/>
        </w:tc>
      </w:tr>
    </w:tbl>
    <w:p w14:paraId="39D4C144" w14:textId="3AA4F028" w:rsidR="00D53359" w:rsidRDefault="009708E4"/>
    <w:sectPr w:rsidR="00D53359" w:rsidSect="007A577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687E" w14:textId="77777777" w:rsidR="009708E4" w:rsidRDefault="009708E4" w:rsidP="00C23F76">
      <w:r>
        <w:separator/>
      </w:r>
    </w:p>
  </w:endnote>
  <w:endnote w:type="continuationSeparator" w:id="0">
    <w:p w14:paraId="1001724C" w14:textId="77777777" w:rsidR="009708E4" w:rsidRDefault="009708E4" w:rsidP="00C2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lliv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B934" w14:textId="77777777" w:rsidR="009708E4" w:rsidRDefault="009708E4" w:rsidP="00C23F76">
      <w:r>
        <w:separator/>
      </w:r>
    </w:p>
  </w:footnote>
  <w:footnote w:type="continuationSeparator" w:id="0">
    <w:p w14:paraId="0E68F41C" w14:textId="77777777" w:rsidR="009708E4" w:rsidRDefault="009708E4" w:rsidP="00C23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A"/>
    <w:rsid w:val="0005448D"/>
    <w:rsid w:val="000654FA"/>
    <w:rsid w:val="000B5885"/>
    <w:rsid w:val="000F32C9"/>
    <w:rsid w:val="00136D62"/>
    <w:rsid w:val="0019794F"/>
    <w:rsid w:val="001B18D5"/>
    <w:rsid w:val="001C4C9B"/>
    <w:rsid w:val="00202C98"/>
    <w:rsid w:val="00205184"/>
    <w:rsid w:val="00207FA9"/>
    <w:rsid w:val="002B6269"/>
    <w:rsid w:val="002B643F"/>
    <w:rsid w:val="002C6A3D"/>
    <w:rsid w:val="002C6A99"/>
    <w:rsid w:val="002F1967"/>
    <w:rsid w:val="00343258"/>
    <w:rsid w:val="003B23B5"/>
    <w:rsid w:val="003D21D8"/>
    <w:rsid w:val="003D4964"/>
    <w:rsid w:val="003E3007"/>
    <w:rsid w:val="003F0304"/>
    <w:rsid w:val="004B5350"/>
    <w:rsid w:val="004B5DB1"/>
    <w:rsid w:val="004D3168"/>
    <w:rsid w:val="004F31B9"/>
    <w:rsid w:val="00534827"/>
    <w:rsid w:val="0056325C"/>
    <w:rsid w:val="00590191"/>
    <w:rsid w:val="005A74B5"/>
    <w:rsid w:val="0064079B"/>
    <w:rsid w:val="00656701"/>
    <w:rsid w:val="006B1660"/>
    <w:rsid w:val="006E64D8"/>
    <w:rsid w:val="0072166B"/>
    <w:rsid w:val="00741A7A"/>
    <w:rsid w:val="007808DE"/>
    <w:rsid w:val="007A5779"/>
    <w:rsid w:val="007B0DBD"/>
    <w:rsid w:val="007F7D98"/>
    <w:rsid w:val="00862CF0"/>
    <w:rsid w:val="00896166"/>
    <w:rsid w:val="00924E9D"/>
    <w:rsid w:val="0093425B"/>
    <w:rsid w:val="009708E4"/>
    <w:rsid w:val="00992853"/>
    <w:rsid w:val="00AB0075"/>
    <w:rsid w:val="00AC7B69"/>
    <w:rsid w:val="00AD180D"/>
    <w:rsid w:val="00B35278"/>
    <w:rsid w:val="00B35939"/>
    <w:rsid w:val="00B50E8C"/>
    <w:rsid w:val="00B943E2"/>
    <w:rsid w:val="00C23F76"/>
    <w:rsid w:val="00C67676"/>
    <w:rsid w:val="00C816A6"/>
    <w:rsid w:val="00C829D0"/>
    <w:rsid w:val="00C82D56"/>
    <w:rsid w:val="00C84691"/>
    <w:rsid w:val="00CA7A72"/>
    <w:rsid w:val="00CF0063"/>
    <w:rsid w:val="00D06350"/>
    <w:rsid w:val="00DF4909"/>
    <w:rsid w:val="00E0284F"/>
    <w:rsid w:val="00E2172C"/>
    <w:rsid w:val="00E56F13"/>
    <w:rsid w:val="00E65A94"/>
    <w:rsid w:val="00EB4A92"/>
    <w:rsid w:val="00EF4D6B"/>
    <w:rsid w:val="00F01E5D"/>
    <w:rsid w:val="00FB2896"/>
    <w:rsid w:val="00FC6F12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CFA"/>
  <w15:chartTrackingRefBased/>
  <w15:docId w15:val="{A70CD223-6B07-4654-BF3C-3219E25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36D62"/>
    <w:rPr>
      <w:rFonts w:ascii="Gulliver" w:hAnsi="Gulliver" w:hint="default"/>
      <w:b w:val="0"/>
      <w:bCs w:val="0"/>
      <w:i w:val="0"/>
      <w:iCs w:val="0"/>
      <w:color w:val="0080AC"/>
      <w:sz w:val="16"/>
      <w:szCs w:val="16"/>
    </w:rPr>
  </w:style>
  <w:style w:type="character" w:styleId="a4">
    <w:name w:val="Hyperlink"/>
    <w:basedOn w:val="a0"/>
    <w:uiPriority w:val="99"/>
    <w:unhideWhenUsed/>
    <w:rsid w:val="001C4C9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24E9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2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23F7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2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3F76"/>
    <w:rPr>
      <w:sz w:val="20"/>
      <w:szCs w:val="20"/>
    </w:rPr>
  </w:style>
  <w:style w:type="character" w:customStyle="1" w:styleId="fontstyle21">
    <w:name w:val="fontstyle21"/>
    <w:basedOn w:val="a0"/>
    <w:rsid w:val="004D3168"/>
    <w:rPr>
      <w:rFonts w:ascii="Gulliver" w:hAnsi="Gullive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A:10111209286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23/A:10111209286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journal/110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景龢 陳</dc:creator>
  <cp:keywords/>
  <dc:description/>
  <cp:lastModifiedBy>景龢 陳</cp:lastModifiedBy>
  <cp:revision>67</cp:revision>
  <dcterms:created xsi:type="dcterms:W3CDTF">2022-06-04T08:11:00Z</dcterms:created>
  <dcterms:modified xsi:type="dcterms:W3CDTF">2022-06-04T18:01:00Z</dcterms:modified>
</cp:coreProperties>
</file>