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DBDB2" w14:textId="5EDEC15C" w:rsidR="00D53359" w:rsidRDefault="00F735D6" w:rsidP="00E77F05">
      <w:pPr>
        <w:rPr>
          <w:sz w:val="32"/>
          <w:szCs w:val="28"/>
        </w:rPr>
      </w:pPr>
      <w:r w:rsidRPr="00F735D6">
        <w:rPr>
          <w:sz w:val="32"/>
          <w:szCs w:val="28"/>
        </w:rPr>
        <w:t>JOURNAL OF FINANCIAL ECONOMICS</w:t>
      </w:r>
    </w:p>
    <w:tbl>
      <w:tblPr>
        <w:tblStyle w:val="a3"/>
        <w:tblW w:w="0" w:type="auto"/>
        <w:jc w:val="center"/>
        <w:tblLook w:val="04A0" w:firstRow="1" w:lastRow="0" w:firstColumn="1" w:lastColumn="0" w:noHBand="0" w:noVBand="1"/>
      </w:tblPr>
      <w:tblGrid>
        <w:gridCol w:w="1129"/>
        <w:gridCol w:w="4536"/>
        <w:gridCol w:w="7391"/>
        <w:gridCol w:w="892"/>
      </w:tblGrid>
      <w:tr w:rsidR="00FB0EA0" w14:paraId="7B7C5F48" w14:textId="4B5570FF" w:rsidTr="00162C6B">
        <w:trPr>
          <w:trHeight w:val="543"/>
          <w:jc w:val="center"/>
        </w:trPr>
        <w:tc>
          <w:tcPr>
            <w:tcW w:w="1129" w:type="dxa"/>
            <w:vAlign w:val="center"/>
          </w:tcPr>
          <w:p w14:paraId="59417189" w14:textId="77777777" w:rsidR="00FB0EA0" w:rsidRDefault="00FB0EA0" w:rsidP="00FB0EA0">
            <w:pPr>
              <w:jc w:val="center"/>
              <w:rPr>
                <w:sz w:val="32"/>
                <w:szCs w:val="28"/>
              </w:rPr>
            </w:pPr>
            <w:r>
              <w:rPr>
                <w:rFonts w:hint="eastAsia"/>
                <w:sz w:val="32"/>
                <w:szCs w:val="28"/>
              </w:rPr>
              <w:t>Y</w:t>
            </w:r>
            <w:r>
              <w:rPr>
                <w:sz w:val="32"/>
                <w:szCs w:val="28"/>
              </w:rPr>
              <w:t>ear</w:t>
            </w:r>
          </w:p>
        </w:tc>
        <w:tc>
          <w:tcPr>
            <w:tcW w:w="4536" w:type="dxa"/>
            <w:vAlign w:val="center"/>
          </w:tcPr>
          <w:p w14:paraId="3EAD79A0" w14:textId="77777777" w:rsidR="00FB0EA0" w:rsidRDefault="00FB0EA0" w:rsidP="00FB0EA0">
            <w:pPr>
              <w:jc w:val="center"/>
              <w:rPr>
                <w:sz w:val="32"/>
                <w:szCs w:val="28"/>
              </w:rPr>
            </w:pPr>
            <w:r>
              <w:rPr>
                <w:rFonts w:hint="eastAsia"/>
                <w:sz w:val="32"/>
                <w:szCs w:val="28"/>
              </w:rPr>
              <w:t>A</w:t>
            </w:r>
            <w:r>
              <w:rPr>
                <w:sz w:val="32"/>
                <w:szCs w:val="28"/>
              </w:rPr>
              <w:t>rticle Name</w:t>
            </w:r>
          </w:p>
        </w:tc>
        <w:tc>
          <w:tcPr>
            <w:tcW w:w="7391" w:type="dxa"/>
            <w:vAlign w:val="center"/>
          </w:tcPr>
          <w:p w14:paraId="201FB556" w14:textId="77777777" w:rsidR="00FB0EA0" w:rsidRDefault="00FB0EA0" w:rsidP="00FB0EA0">
            <w:pPr>
              <w:jc w:val="center"/>
              <w:rPr>
                <w:sz w:val="32"/>
                <w:szCs w:val="28"/>
              </w:rPr>
            </w:pPr>
            <w:r>
              <w:rPr>
                <w:rFonts w:hint="eastAsia"/>
                <w:sz w:val="32"/>
                <w:szCs w:val="28"/>
              </w:rPr>
              <w:t>A</w:t>
            </w:r>
            <w:r>
              <w:rPr>
                <w:sz w:val="32"/>
                <w:szCs w:val="28"/>
              </w:rPr>
              <w:t>bstract</w:t>
            </w:r>
          </w:p>
        </w:tc>
        <w:tc>
          <w:tcPr>
            <w:tcW w:w="892" w:type="dxa"/>
            <w:vAlign w:val="center"/>
          </w:tcPr>
          <w:p w14:paraId="27DCBD7B" w14:textId="5A5DDF2A" w:rsidR="00FB0EA0" w:rsidRDefault="00FB0EA0" w:rsidP="00FB0EA0">
            <w:pPr>
              <w:widowControl/>
              <w:rPr>
                <w:sz w:val="32"/>
                <w:szCs w:val="28"/>
              </w:rPr>
            </w:pPr>
            <w:r>
              <w:rPr>
                <w:rFonts w:hint="eastAsia"/>
                <w:sz w:val="32"/>
                <w:szCs w:val="28"/>
              </w:rPr>
              <w:t>C</w:t>
            </w:r>
            <w:r>
              <w:rPr>
                <w:sz w:val="32"/>
                <w:szCs w:val="28"/>
              </w:rPr>
              <w:t>ited</w:t>
            </w:r>
          </w:p>
        </w:tc>
      </w:tr>
      <w:tr w:rsidR="00FB0EA0" w:rsidRPr="00F37E32" w14:paraId="16E135F3" w14:textId="5E473309" w:rsidTr="00162C6B">
        <w:trPr>
          <w:jc w:val="center"/>
        </w:trPr>
        <w:tc>
          <w:tcPr>
            <w:tcW w:w="1129" w:type="dxa"/>
            <w:vAlign w:val="center"/>
          </w:tcPr>
          <w:p w14:paraId="6D605274" w14:textId="05CBA59C" w:rsidR="00FB0EA0" w:rsidRDefault="00FB0EA0" w:rsidP="00FB0EA0">
            <w:pPr>
              <w:jc w:val="center"/>
              <w:rPr>
                <w:sz w:val="32"/>
                <w:szCs w:val="28"/>
              </w:rPr>
            </w:pPr>
            <w:r>
              <w:rPr>
                <w:rFonts w:hint="eastAsia"/>
                <w:sz w:val="32"/>
                <w:szCs w:val="28"/>
              </w:rPr>
              <w:t>2</w:t>
            </w:r>
            <w:r>
              <w:rPr>
                <w:sz w:val="32"/>
                <w:szCs w:val="28"/>
              </w:rPr>
              <w:t>0</w:t>
            </w:r>
            <w:r w:rsidR="005C7D2E">
              <w:rPr>
                <w:sz w:val="32"/>
                <w:szCs w:val="28"/>
              </w:rPr>
              <w:t>21</w:t>
            </w:r>
          </w:p>
        </w:tc>
        <w:tc>
          <w:tcPr>
            <w:tcW w:w="4536" w:type="dxa"/>
            <w:vAlign w:val="center"/>
          </w:tcPr>
          <w:p w14:paraId="23480B60" w14:textId="226F458A" w:rsidR="00FB0EA0" w:rsidRDefault="005C7D2E" w:rsidP="00FB0EA0">
            <w:pPr>
              <w:jc w:val="center"/>
              <w:rPr>
                <w:sz w:val="32"/>
                <w:szCs w:val="28"/>
              </w:rPr>
            </w:pPr>
            <w:r w:rsidRPr="005C7D2E">
              <w:t xml:space="preserve">Responsible investing: The ESG-efficient frontier </w:t>
            </w:r>
          </w:p>
        </w:tc>
        <w:tc>
          <w:tcPr>
            <w:tcW w:w="7391" w:type="dxa"/>
            <w:vAlign w:val="center"/>
          </w:tcPr>
          <w:p w14:paraId="1DE9369F" w14:textId="5B89D62C" w:rsidR="00FB0EA0" w:rsidRPr="00F37E32" w:rsidRDefault="00A34C15" w:rsidP="00FB0EA0">
            <w:pPr>
              <w:jc w:val="center"/>
            </w:pPr>
            <w:r w:rsidRPr="00A34C15">
              <w:t>We propose a theory in which each stock's environmental, social, and governance (ESG) score plays two roles: (1) providing information about firm fundamentals and (2) affecting investor preferences. The solution to the investor's portfolio problem is characterized by an ESG-efficient frontier, showing the highest attainable Sharpe ratio for each ESG level. The corresponding portfolios satisfy four-fund separation. Equilibrium asset prices are determined by an ESG-adjusted capital asset pricing model, showing when ESG raises or lowers the required return. Combining several large data sets, we compute the empirical ESGefficient frontier and show the costs and benefits of responsible investing. Finally, we test our theory's predictions using proxies for E (carbon emissions), S, G, and overall ESG. (c) 2020 The Authors. Published by Elsevier B.V. This is an open access article under the CC BY-NC-ND license ( http://creativecommons.org/licenses/by-nc-nd/4.0/ )</w:t>
            </w:r>
          </w:p>
        </w:tc>
        <w:tc>
          <w:tcPr>
            <w:tcW w:w="892" w:type="dxa"/>
            <w:vAlign w:val="center"/>
          </w:tcPr>
          <w:p w14:paraId="6C7DC5DF" w14:textId="0A786094" w:rsidR="00FB0EA0" w:rsidRPr="00F37E32" w:rsidRDefault="008E7FFD" w:rsidP="00FB0EA0">
            <w:pPr>
              <w:widowControl/>
            </w:pPr>
            <w:r>
              <w:rPr>
                <w:sz w:val="32"/>
                <w:szCs w:val="28"/>
              </w:rPr>
              <w:t>7</w:t>
            </w:r>
          </w:p>
        </w:tc>
      </w:tr>
      <w:tr w:rsidR="00FB0EA0" w:rsidRPr="00FE45DB" w14:paraId="285ADBC9" w14:textId="5F0549C4" w:rsidTr="00162C6B">
        <w:trPr>
          <w:jc w:val="center"/>
        </w:trPr>
        <w:tc>
          <w:tcPr>
            <w:tcW w:w="1129" w:type="dxa"/>
            <w:vAlign w:val="center"/>
          </w:tcPr>
          <w:p w14:paraId="58DF69FE" w14:textId="752A5052" w:rsidR="00FB0EA0" w:rsidRDefault="00FB0EA0" w:rsidP="00FB0EA0">
            <w:pPr>
              <w:jc w:val="center"/>
              <w:rPr>
                <w:sz w:val="32"/>
                <w:szCs w:val="28"/>
              </w:rPr>
            </w:pPr>
            <w:r>
              <w:rPr>
                <w:rFonts w:hint="eastAsia"/>
                <w:sz w:val="32"/>
                <w:szCs w:val="28"/>
              </w:rPr>
              <w:t>2</w:t>
            </w:r>
            <w:r>
              <w:rPr>
                <w:sz w:val="32"/>
                <w:szCs w:val="28"/>
              </w:rPr>
              <w:t>0</w:t>
            </w:r>
            <w:r w:rsidR="008E331C">
              <w:rPr>
                <w:sz w:val="32"/>
                <w:szCs w:val="28"/>
              </w:rPr>
              <w:t>2</w:t>
            </w:r>
            <w:r w:rsidR="002C2373">
              <w:rPr>
                <w:sz w:val="32"/>
                <w:szCs w:val="28"/>
              </w:rPr>
              <w:t>1</w:t>
            </w:r>
          </w:p>
        </w:tc>
        <w:tc>
          <w:tcPr>
            <w:tcW w:w="4536" w:type="dxa"/>
            <w:vAlign w:val="center"/>
          </w:tcPr>
          <w:p w14:paraId="0DF21064" w14:textId="381964D4" w:rsidR="00FB0EA0" w:rsidRDefault="00F21B03" w:rsidP="00FB0EA0">
            <w:pPr>
              <w:jc w:val="center"/>
              <w:rPr>
                <w:sz w:val="32"/>
                <w:szCs w:val="28"/>
              </w:rPr>
            </w:pPr>
            <w:r w:rsidRPr="00F21B03">
              <w:t>Sustainable investing in equilibrium</w:t>
            </w:r>
          </w:p>
        </w:tc>
        <w:tc>
          <w:tcPr>
            <w:tcW w:w="7391" w:type="dxa"/>
            <w:vAlign w:val="center"/>
          </w:tcPr>
          <w:p w14:paraId="1A6B7B03" w14:textId="5931E2E9" w:rsidR="00FB0EA0" w:rsidRPr="00FE45DB" w:rsidRDefault="00F21B03" w:rsidP="00FB0EA0">
            <w:pPr>
              <w:jc w:val="center"/>
            </w:pPr>
            <w:r w:rsidRPr="00F21B03">
              <w:t xml:space="preserve">We model investing that considers environmental, social, and governance (ESG) criteria. In equilibrium, green assets have low expected returns because investors enjoy holding them and because green assets hedge climate risk. Green assets nevertheless outperform when positive shocks </w:t>
            </w:r>
            <w:r w:rsidRPr="00F21B03">
              <w:lastRenderedPageBreak/>
              <w:t>hit the ESG factor, which captures shifts in customers' tastes for green products and investors' tastes for green holdings. The ESG factor and the market portfolio price assets in a two-factor model. The ESG investment industry is largest when investors' ESG preferences differ most. Sustainable investing produces positive social impact by making firms greener and by shifting real investment toward green firms. (c) 2021 Elsevier B.V. All rights reserved.</w:t>
            </w:r>
          </w:p>
        </w:tc>
        <w:tc>
          <w:tcPr>
            <w:tcW w:w="892" w:type="dxa"/>
            <w:vAlign w:val="center"/>
          </w:tcPr>
          <w:p w14:paraId="68EBCDDA" w14:textId="4DE547E2" w:rsidR="00FB0EA0" w:rsidRPr="00FE45DB" w:rsidRDefault="008E7FFD" w:rsidP="00FB0EA0">
            <w:pPr>
              <w:widowControl/>
            </w:pPr>
            <w:r>
              <w:rPr>
                <w:sz w:val="32"/>
                <w:szCs w:val="28"/>
              </w:rPr>
              <w:lastRenderedPageBreak/>
              <w:t>7</w:t>
            </w:r>
          </w:p>
        </w:tc>
      </w:tr>
    </w:tbl>
    <w:p w14:paraId="621E86E3" w14:textId="0FB83331" w:rsidR="001F6389" w:rsidRDefault="001F6389" w:rsidP="00324DEC">
      <w:pPr>
        <w:rPr>
          <w:sz w:val="32"/>
          <w:szCs w:val="28"/>
        </w:rPr>
      </w:pPr>
    </w:p>
    <w:p w14:paraId="0B7E84C5" w14:textId="15C8C791" w:rsidR="009A2413" w:rsidRPr="00F735D6" w:rsidRDefault="009A2413" w:rsidP="001F6389">
      <w:pPr>
        <w:widowControl/>
        <w:rPr>
          <w:sz w:val="32"/>
          <w:szCs w:val="28"/>
        </w:rPr>
      </w:pPr>
    </w:p>
    <w:sectPr w:rsidR="009A2413" w:rsidRPr="00F735D6" w:rsidSect="005B6D86">
      <w:pgSz w:w="16838" w:h="11906" w:orient="landscape"/>
      <w:pgMar w:top="1800" w:right="1440" w:bottom="180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32C82" w14:textId="77777777" w:rsidR="00BE417D" w:rsidRDefault="00BE417D" w:rsidP="000E59DC">
      <w:r>
        <w:separator/>
      </w:r>
    </w:p>
  </w:endnote>
  <w:endnote w:type="continuationSeparator" w:id="0">
    <w:p w14:paraId="53CF060C" w14:textId="77777777" w:rsidR="00BE417D" w:rsidRDefault="00BE417D" w:rsidP="000E5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F18D2" w14:textId="77777777" w:rsidR="00BE417D" w:rsidRDefault="00BE417D" w:rsidP="000E59DC">
      <w:r>
        <w:separator/>
      </w:r>
    </w:p>
  </w:footnote>
  <w:footnote w:type="continuationSeparator" w:id="0">
    <w:p w14:paraId="553F6BDE" w14:textId="77777777" w:rsidR="00BE417D" w:rsidRDefault="00BE417D" w:rsidP="000E59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4AB"/>
    <w:rsid w:val="00001F5A"/>
    <w:rsid w:val="0002643F"/>
    <w:rsid w:val="000E59DC"/>
    <w:rsid w:val="000F3CA0"/>
    <w:rsid w:val="00106C06"/>
    <w:rsid w:val="00141036"/>
    <w:rsid w:val="00154DCE"/>
    <w:rsid w:val="001E0154"/>
    <w:rsid w:val="001E3905"/>
    <w:rsid w:val="001F6389"/>
    <w:rsid w:val="00207FA9"/>
    <w:rsid w:val="00231ABB"/>
    <w:rsid w:val="00260DB3"/>
    <w:rsid w:val="002C2373"/>
    <w:rsid w:val="002C6A10"/>
    <w:rsid w:val="002E598C"/>
    <w:rsid w:val="00324DEC"/>
    <w:rsid w:val="003647DB"/>
    <w:rsid w:val="00385A4E"/>
    <w:rsid w:val="003A5D32"/>
    <w:rsid w:val="003C6AD8"/>
    <w:rsid w:val="00441B7C"/>
    <w:rsid w:val="00447E16"/>
    <w:rsid w:val="00482F0E"/>
    <w:rsid w:val="0049638A"/>
    <w:rsid w:val="004C588F"/>
    <w:rsid w:val="004E364E"/>
    <w:rsid w:val="004E3EF7"/>
    <w:rsid w:val="004F695A"/>
    <w:rsid w:val="00534827"/>
    <w:rsid w:val="00546637"/>
    <w:rsid w:val="00557F67"/>
    <w:rsid w:val="00582075"/>
    <w:rsid w:val="005A5805"/>
    <w:rsid w:val="005B5D8A"/>
    <w:rsid w:val="005B6D86"/>
    <w:rsid w:val="005C7D2E"/>
    <w:rsid w:val="005D21D9"/>
    <w:rsid w:val="005E274C"/>
    <w:rsid w:val="005F7334"/>
    <w:rsid w:val="00604603"/>
    <w:rsid w:val="00604EED"/>
    <w:rsid w:val="00611099"/>
    <w:rsid w:val="00635ABA"/>
    <w:rsid w:val="00663FD1"/>
    <w:rsid w:val="006E5EFD"/>
    <w:rsid w:val="00757A12"/>
    <w:rsid w:val="00773A2E"/>
    <w:rsid w:val="007D7E8D"/>
    <w:rsid w:val="008060EA"/>
    <w:rsid w:val="008277B4"/>
    <w:rsid w:val="00827ACF"/>
    <w:rsid w:val="00841ECF"/>
    <w:rsid w:val="008A54D1"/>
    <w:rsid w:val="008C5C54"/>
    <w:rsid w:val="008E331C"/>
    <w:rsid w:val="008E7FFD"/>
    <w:rsid w:val="008F0208"/>
    <w:rsid w:val="008F3C78"/>
    <w:rsid w:val="00903920"/>
    <w:rsid w:val="00933797"/>
    <w:rsid w:val="0094260E"/>
    <w:rsid w:val="0095685E"/>
    <w:rsid w:val="009A2413"/>
    <w:rsid w:val="00A34C15"/>
    <w:rsid w:val="00A67224"/>
    <w:rsid w:val="00A739A5"/>
    <w:rsid w:val="00AB23C4"/>
    <w:rsid w:val="00B84AF0"/>
    <w:rsid w:val="00BD0695"/>
    <w:rsid w:val="00BD2A3F"/>
    <w:rsid w:val="00BE417D"/>
    <w:rsid w:val="00BE68E0"/>
    <w:rsid w:val="00C02BC4"/>
    <w:rsid w:val="00C164AB"/>
    <w:rsid w:val="00C32682"/>
    <w:rsid w:val="00C44BE0"/>
    <w:rsid w:val="00C816A6"/>
    <w:rsid w:val="00C83BD3"/>
    <w:rsid w:val="00D9402D"/>
    <w:rsid w:val="00DA1D5D"/>
    <w:rsid w:val="00DA66DE"/>
    <w:rsid w:val="00DD1A61"/>
    <w:rsid w:val="00E77F05"/>
    <w:rsid w:val="00E84E57"/>
    <w:rsid w:val="00EB003F"/>
    <w:rsid w:val="00F16E7F"/>
    <w:rsid w:val="00F21B03"/>
    <w:rsid w:val="00F357B8"/>
    <w:rsid w:val="00F37E32"/>
    <w:rsid w:val="00F4429E"/>
    <w:rsid w:val="00F70414"/>
    <w:rsid w:val="00F735D6"/>
    <w:rsid w:val="00F9688B"/>
    <w:rsid w:val="00FB0EA0"/>
    <w:rsid w:val="00FD4058"/>
    <w:rsid w:val="00FD6E4A"/>
    <w:rsid w:val="00FE45DB"/>
    <w:rsid w:val="00FE46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B9A7A"/>
  <w15:chartTrackingRefBased/>
  <w15:docId w15:val="{7CEA8A1D-2314-49A4-8F82-8749DAD14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77F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E59DC"/>
    <w:pPr>
      <w:tabs>
        <w:tab w:val="center" w:pos="4153"/>
        <w:tab w:val="right" w:pos="8306"/>
      </w:tabs>
      <w:snapToGrid w:val="0"/>
    </w:pPr>
    <w:rPr>
      <w:sz w:val="20"/>
      <w:szCs w:val="20"/>
    </w:rPr>
  </w:style>
  <w:style w:type="character" w:customStyle="1" w:styleId="a5">
    <w:name w:val="頁首 字元"/>
    <w:basedOn w:val="a0"/>
    <w:link w:val="a4"/>
    <w:uiPriority w:val="99"/>
    <w:rsid w:val="000E59DC"/>
    <w:rPr>
      <w:sz w:val="20"/>
      <w:szCs w:val="20"/>
    </w:rPr>
  </w:style>
  <w:style w:type="paragraph" w:styleId="a6">
    <w:name w:val="footer"/>
    <w:basedOn w:val="a"/>
    <w:link w:val="a7"/>
    <w:uiPriority w:val="99"/>
    <w:unhideWhenUsed/>
    <w:rsid w:val="000E59DC"/>
    <w:pPr>
      <w:tabs>
        <w:tab w:val="center" w:pos="4153"/>
        <w:tab w:val="right" w:pos="8306"/>
      </w:tabs>
      <w:snapToGrid w:val="0"/>
    </w:pPr>
    <w:rPr>
      <w:sz w:val="20"/>
      <w:szCs w:val="20"/>
    </w:rPr>
  </w:style>
  <w:style w:type="character" w:customStyle="1" w:styleId="a7">
    <w:name w:val="頁尾 字元"/>
    <w:basedOn w:val="a0"/>
    <w:link w:val="a6"/>
    <w:uiPriority w:val="99"/>
    <w:rsid w:val="000E59D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2</Pages>
  <Words>280</Words>
  <Characters>1602</Characters>
  <Application>Microsoft Office Word</Application>
  <DocSecurity>0</DocSecurity>
  <Lines>13</Lines>
  <Paragraphs>3</Paragraphs>
  <ScaleCrop>false</ScaleCrop>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90</cp:revision>
  <dcterms:created xsi:type="dcterms:W3CDTF">2021-10-19T03:26:00Z</dcterms:created>
  <dcterms:modified xsi:type="dcterms:W3CDTF">2021-11-05T00:54:00Z</dcterms:modified>
</cp:coreProperties>
</file>