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rPr>
          <w:b/>
          <w:color w:val="000000"/>
        </w:rPr>
        <w:t>Database Enhancement</w:t>
      </w:r>
    </w:p>
    <w:p>
      <w:pPr>
        <w:jc w:val="center"/>
      </w:pPr>
      <w:r>
        <w:t>Jadan Morrow</w:t>
        <w:br/>
        <w:t>CS 499 | 7-1 Final Portfolio Narrative</w:t>
        <w:br/>
        <w:t>October 8, 2026</w:t>
      </w:r>
    </w:p>
    <w:p>
      <w:pPr>
        <w:ind w:firstLine="720"/>
      </w:pPr>
      <w:r>
        <w:t>This final portfolio narrative preserves the milestone implementation and adds the feedback response below. Test counts and measurements in the milestone account refer to that version and its recorded run.</w:t>
      </w:r>
    </w:p>
    <w:p>
      <w:pPr>
        <w:pStyle w:val="Heading1"/>
        <w:keepNext/>
        <w:pageBreakBefore w:val="0"/>
      </w:pPr>
      <w:r>
        <w:t>Final portfolio update</w:t>
      </w:r>
    </w:p>
    <w:p>
      <w:pPr>
        <w:ind w:firstLine="720"/>
      </w:pPr>
      <w:r>
        <w:t>The database milestone received 40/40. In the October 8 feedback, my instructor specifically asked for more evidence related to Outcome 1. I added docs/REVIEW_AND_HANDOFF.md to the final database artifact. It separates coordinator, maintainer, and database-review concerns; maps instructor feedback to changes; and provides reproducible checks and acceptance criteria for reviewing a proposed change. This gives another reviewer a practical way to join the decision process. It remains individual work, and the guide is evidence of collaboration strategies rather than a record of a completed team exercise. The final portfolio also presents the benchmark results and limitations directly beside the narrative. The implementation and its recorded 160-test baseline remain unchanged.</w:t>
      </w:r>
    </w:p>
    <w:p>
      <w:pPr>
        <w:pStyle w:val="Heading1"/>
        <w:keepNext/>
      </w:pPr>
      <w:r>
        <w:t>Artifact and purpose</w:t>
      </w:r>
    </w:p>
    <w:p>
      <w:pPr>
        <w:ind w:firstLine="720"/>
      </w:pPr>
      <w:r>
        <w:t>I continued working on the Grazioso Salvare Animal Rescue Dashboard that I created for CS 340 Project Two on April 19, 2026. The original notebook filtered rescue candidates and displayed a table, breed chart, and map. My earlier enhancements separated the application into components and added a nearest-candidate shortlist. This milestone completes the database part of my approved plan. The ZIP includes the original code with documented credential redactions, the enhanced source, fictional fixtures, tests, setup tools, and evidence reports.</w:t>
      </w:r>
    </w:p>
    <w:p>
      <w:pPr>
        <w:ind w:firstLine="720"/>
      </w:pPr>
      <w:r>
        <w:t>I chose this artifact because it gave the database work a practical purpose. The earlier version loaded every matching record before displaying a small page or ranking nearby candidates. That worked with the small fixture, but it would use more memory and send more data as the collection grew. Improving that path let me demonstrate query design, schema validation, access control, integration testing, and careful performance measurement.</w:t>
      </w:r>
    </w:p>
    <w:p>
      <w:pPr>
        <w:pStyle w:val="Heading1"/>
        <w:keepNext/>
      </w:pPr>
      <w:r>
        <w:t>What changed and why</w:t>
      </w:r>
    </w:p>
    <w:p>
      <w:pPr>
        <w:ind w:firstLine="720"/>
      </w:pPr>
      <w:r>
        <w:t>The table now requests a page from MongoDB instead of loading the full category into the browser. It displays 10, 25, or 50 rows and uses the first or last permanent record ID to move backward or forward. The query asks for only the fields the dashboard uses and fetches one extra row to check whether another page exists. I validate page sizes and typed cursor values before accessing the database. The fixed record-ID order makes navigation predictable. MongoDB explains that range queries can avoid the growing scan needed by large skip offsets (MongoDB, n.d.-a).</w:t>
      </w:r>
    </w:p>
    <w:p>
      <w:pPr>
        <w:ind w:firstLine="720"/>
      </w:pPr>
      <w:r>
        <w:t>I removed arbitrary browser sorting and text filtering as a deliberate trade-off. With only one page loaded, those controls could make a partial result look complete. The rescue category controls remain. Changing category, page size, or refreshing returns to the first page and clears the selection. Paging is not a snapshot: records edited between requests can change later pages, so refresh restarts the view.</w:t>
      </w:r>
    </w:p>
    <w:p>
      <w:pPr>
        <w:ind w:firstLine="720"/>
      </w:pPr>
      <w:r>
        <w:t>The breed chart uses a separate match-and-group aggregation for the full category. It does not summarize just the visible page. The map still uses the selected row on that page. The shortlist also considers the entire category, but now reads projected records through a cursor in batches of 100. The existing heap keeps only the best requested candidates. If reading the cursor fails, the app clears the ranking rather than showing an incomplete answer. Streaming limits input buffering; it does not avoid scanning all eligible records.</w:t>
      </w:r>
    </w:p>
    <w:p>
      <w:pPr>
        <w:ind w:firstLine="720"/>
      </w:pPr>
      <w:r>
        <w:t>I added an import preview that reports malformed or duplicate rows before writing anything. Apply refuses an existing collection and refuses a batch with rejected rows. A strict MongoDB validator checks IDs, required text, ages, and coordinate ranges. Missing locations stay missing instead of becoming zero. A separate reader account runs the dashboard, while a maintenance account handles setup and indexes. The application accepts fixed categories and validated scalar values, not user-supplied query operators.</w:t>
      </w:r>
    </w:p>
    <w:p>
      <w:pPr>
        <w:pStyle w:val="Heading1"/>
        <w:keepNext/>
      </w:pPr>
      <w:r>
        <w:t>Testing and measured results</w:t>
      </w:r>
    </w:p>
    <w:p>
      <w:pPr>
        <w:ind w:firstLine="720"/>
      </w:pPr>
      <w:r>
        <w:t>All 160 tests passed, including 27 live MongoDB cases, with no skipped tests in the configured run. The new tests check page traversal without missing or repeated records, backward navigation, category and page-size resets, ObjectId cursors, full-category summaries, and ranking beyond the displayed page. They also check rejected imports, schema failures, missing coordinates, and failed streams. Six permission checks confirmed that the reader could not insert, update, delete, create an index, change the schema, or read another database. Existing software and algorithm regression tests remained in the suite.</w:t>
      </w:r>
    </w:p>
    <w:p>
      <w:pPr>
        <w:ind w:firstLine="720"/>
      </w:pPr>
      <w:r>
        <w:t>Browser checks used a separate authenticated MongoDB database containing 156 validated fictional records. The table displayed 10 of 156 records, Next changed the page, and switching to Water Rescue reset the page and showed 10 of 36 records. The breed chart covered all 36 records. Ranking considered that full category and reported 12 records with missing locations while returning 10 candidates. The original shelter dataset was unavailable, so these checks establish behavior on controlled examples rather than production readiness.</w:t>
      </w:r>
    </w:p>
    <w:p>
      <w:pPr>
        <w:ind w:firstLine="720"/>
      </w:pPr>
      <w:r>
        <w:t>For the database benchmark, I generated 10,000 fictional records and compared the existing ID index with two compound index candidates across all four categories at first-page and deeper boundaries. Each timing used one warm-up and five measured runs. I recorded returned rows, documents examined, keys examined, and execution time; MongoDB's explain documentation defines these measures (MongoDB, n.d.-b). The page-order candidate reduced examined documents for rescue queries, but it was not fastest in every timing. I installed it alongside the existing ID index and let the optimizer choose. The filter-range candidate performed poorly in these page queries and was not installed in the application collection.</w:t>
      </w:r>
    </w:p>
    <w:p>
      <w:pPr>
        <w:ind w:firstLine="720"/>
      </w:pPr>
      <w:r>
        <w:t>At the tested deep boundary, skip took a median 3.240 ms and keyset paging took 0.445 ms for the same 50 records. Serialized row data dropped from 2,313,087 bytes for all 10,000 rows to 11,571 bytes for one 50-row page. Those are row payload measurements, not total page traffic. Reading and ranking all records used about 13.19 MB of peak traced Python memory when materialized, compared with about 0.16 MB through the cursor. Streaming was slower in this test: 145.577 ms versus 47.150 ms. I accepted that trade-off for bounded input buffering rather than claiming every change improved speed.</w:t>
      </w:r>
    </w:p>
    <w:p>
      <w:pPr>
        <w:ind w:firstLine="720"/>
      </w:pPr>
      <w:r>
        <w:t>I also measured index allocation and repeated 2,000-row inserts into fresh test collections. Write timings were noisy and used a fixed test order, so they do not support a reliable write-overhead percentage. Allocated index sizes depend on storage behavior and are not a per-record cost estimate. The report includes all samples and limitations. These results come from one computer and synthetic distributions; they exclude production load and do not measure total server or process memory.</w:t>
      </w:r>
    </w:p>
    <w:p>
      <w:pPr>
        <w:pStyle w:val="Heading1"/>
        <w:keepNext/>
      </w:pPr>
      <w:r>
        <w:t>Course outcomes and feedback</w:t>
      </w:r>
    </w:p>
    <w:p>
      <w:pPr>
        <w:ind w:firstLine="720"/>
      </w:pPr>
      <w:r>
        <w:t>Outcome 4 is the main focus here. The repository methods, setup tools, schema, aggregation, and live integration tests demonstrate a working database solution. Outcome 3 is supported by the comparisons of keyset and skip paging, index candidates, and streamed versus materialized ranking. The measured results show both the benefit and the cost of those decisions. Outcome 5 is supported by validated bounded requests, field projection, safe error handling, and the tests that verify denied writes and access outside the database.</w:t>
      </w:r>
    </w:p>
    <w:p>
      <w:pPr>
        <w:ind w:firstLine="720"/>
      </w:pPr>
      <w:r>
        <w:t>For Outcome 2, the README, data dictionary, benchmark report, and this narrative explain how to run the project and interpret its evidence. For Outcome 1, I used instructor feedback to make those connections more explicit, while recognizing that an individual project does not establish team collaboration. Milestone Two received 40/40, and the instructor asked for clearer evidence tied to outcomes. Module Four has now received 15/15 for the journal and 40/40 for the algorithm milestone. The instructor asked for clearer user benefits and specific evidence. Bounded pages reduce the data sent to the browser, while streamed ranking limits application memory as more candidates are considered. This can help preserve room for other application work, but the local benchmark showed slower ranking and did not test concurrent users. The chart and shortlist still cover the full category, so smaller pages do not hide eligible candidates. I completed the planned database enhancement without changing my overall outcome plan. The database milestone has now received 40/40. The final self-assessment and portfolio materials incorporate that feedback and are prepared locally for publication and submission.</w:t>
      </w:r>
    </w:p>
    <w:p>
      <w:pPr>
        <w:pStyle w:val="Heading1"/>
        <w:keepNext/>
      </w:pPr>
      <w:r>
        <w:t>What I learned</w:t>
      </w:r>
    </w:p>
    <w:p>
      <w:pPr>
        <w:ind w:firstLine="720"/>
      </w:pPr>
      <w:r>
        <w:t>The biggest lesson was that a smaller memory footprint does not automatically mean a faster result. Streaming substantially reduced the Python allocations I measured, but took longer on this local workload. Index selection had the same kind of trade-off: fewer examined documents did not guarantee the lowest elapsed time. Keeping the raw measurements helped me explain those results honestly.</w:t>
      </w:r>
    </w:p>
    <w:p>
      <w:pPr>
        <w:ind w:firstLine="720"/>
      </w:pPr>
      <w:r>
        <w:t>Another challenge was keeping the interface meaningful after moving paging to the database. A page-only chart or shortlist would quietly change what the user was seeing. Separating the page, summary, and ranking queries kept their purposes clear. I also learned to test permissions as actual denied operations and to keep setup credentials away from the running app. The completed database enhancement received 40/40, and the final handoff guide addresses the request for stronger Outcome 1 evidence. The software-design artifact and polished narrative for the Module Five 5-3 reminder were published on October 4, 2026, at https://imjvdn.github.io/#software-design. The final database narrative and source ZIP are included with the other required files in the Module Seven submission package.</w:t>
      </w:r>
    </w:p>
    <w:p>
      <w:pPr>
        <w:keepNext/>
        <w:pageBreakBefore/>
        <w:spacing w:line="480" w:lineRule="auto" w:before="0" w:after="0"/>
        <w:ind w:firstLine="0" w:left="0"/>
        <w:jc w:val="center"/>
      </w:pPr>
      <w:r>
        <w:rPr>
          <w:b/>
          <w:i w:val="0"/>
          <w:color w:val="000000"/>
        </w:rPr>
        <w:t>References</w:t>
      </w:r>
    </w:p>
    <w:p>
      <w:pPr>
        <w:keepNext w:val="0"/>
        <w:keepLines/>
        <w:spacing w:line="480" w:lineRule="auto" w:before="0" w:after="0"/>
        <w:ind w:left="720" w:right="0" w:hanging="720"/>
        <w:jc w:val="left"/>
      </w:pPr>
      <w:r>
        <w:rPr>
          <w:rFonts w:ascii="Times New Roman" w:hAnsi="Times New Roman"/>
          <w:b w:val="0"/>
          <w:i w:val="0"/>
          <w:color w:val="000000"/>
          <w:sz w:val="24"/>
        </w:rPr>
        <w:t xml:space="preserve">MongoDB. (n.d.-a). </w:t>
      </w:r>
      <w:r>
        <w:rPr>
          <w:rFonts w:ascii="Times New Roman" w:hAnsi="Times New Roman"/>
          <w:b w:val="0"/>
          <w:i/>
          <w:color w:val="000000"/>
          <w:sz w:val="24"/>
        </w:rPr>
        <w:t>cursor.skip()</w:t>
      </w:r>
      <w:r>
        <w:rPr>
          <w:rFonts w:ascii="Times New Roman" w:hAnsi="Times New Roman"/>
          <w:b w:val="0"/>
          <w:i w:val="0"/>
          <w:color w:val="000000"/>
          <w:sz w:val="24"/>
        </w:rPr>
        <w:t>. https://www.mongodb.com/docs/v8.0/reference/method/cursor.skip/</w:t>
      </w:r>
    </w:p>
    <w:p>
      <w:pPr>
        <w:keepNext w:val="0"/>
        <w:keepLines/>
        <w:spacing w:line="480" w:lineRule="auto" w:before="0" w:after="0"/>
        <w:ind w:left="720" w:right="0" w:hanging="720"/>
        <w:jc w:val="left"/>
      </w:pPr>
      <w:r>
        <w:rPr>
          <w:rFonts w:ascii="Times New Roman" w:hAnsi="Times New Roman"/>
          <w:b w:val="0"/>
          <w:i w:val="0"/>
          <w:color w:val="000000"/>
          <w:sz w:val="24"/>
        </w:rPr>
        <w:t xml:space="preserve">MongoDB. (n.d.-b). </w:t>
      </w:r>
      <w:r>
        <w:rPr>
          <w:rFonts w:ascii="Times New Roman" w:hAnsi="Times New Roman"/>
          <w:b w:val="0"/>
          <w:i/>
          <w:color w:val="000000"/>
          <w:sz w:val="24"/>
        </w:rPr>
        <w:t>Explain results</w:t>
      </w:r>
      <w:r>
        <w:rPr>
          <w:rFonts w:ascii="Times New Roman" w:hAnsi="Times New Roman"/>
          <w:b w:val="0"/>
          <w:i w:val="0"/>
          <w:color w:val="000000"/>
          <w:sz w:val="24"/>
        </w:rPr>
        <w:t>. https://www.mongodb.com/docs/v8.0/reference/explain-results/</w:t>
      </w:r>
    </w:p>
    <w:sectPr w:rsidR="00B12F69" w:rsidSect="00034616">
      <w:headerReference w:type="default" r:id="rId8"/>
      <w:pgSz w:w="12240" w:h="15840"/>
      <w:pgMar w:top="1440" w:right="1440" w:bottom="1440" w:left="1440" w:header="21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9C45B" w14:textId="77777777" w:rsidR="00A72A23" w:rsidRDefault="00A72A23">
      <w:pPr>
        <w:spacing w:line="240" w:lineRule="auto"/>
      </w:pPr>
      <w:r>
        <w:separator/>
      </w:r>
    </w:p>
  </w:endnote>
  <w:endnote w:type="continuationSeparator" w:id="0">
    <w:p w14:paraId="6CC4EE82" w14:textId="77777777" w:rsidR="00A72A23" w:rsidRDefault="00A72A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F377A" w14:textId="77777777" w:rsidR="00A72A23" w:rsidRDefault="00A72A23">
      <w:pPr>
        <w:spacing w:line="240" w:lineRule="auto"/>
      </w:pPr>
      <w:r>
        <w:separator/>
      </w:r>
    </w:p>
  </w:footnote>
  <w:footnote w:type="continuationSeparator" w:id="0">
    <w:p w14:paraId="0346F4A7" w14:textId="77777777" w:rsidR="00A72A23" w:rsidRDefault="00A72A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20288" w14:textId="77777777" w:rsidR="00B12F69" w:rsidRDefault="00000000">
    <w:pPr>
      <w:pStyle w:val="Header"/>
      <w:jc w:val="center"/>
    </w:pPr>
    <w:r>
      <w:rPr>
        <w:noProof/>
      </w:rPr>
      <w:drawing>
        <wp:inline distT="0" distB="0" distL="0" distR="0" wp14:anchorId="4C1A2EB4" wp14:editId="237E81D0">
          <wp:extent cx="1508760" cy="6548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hu_logo_rgb.png"/>
                  <pic:cNvPicPr/>
                </pic:nvPicPr>
                <pic:blipFill>
                  <a:blip r:embed="rId1"/>
                  <a:stretch>
                    <a:fillRect/>
                  </a:stretch>
                </pic:blipFill>
                <pic:spPr>
                  <a:xfrm>
                    <a:off x="0" y="0"/>
                    <a:ext cx="1508760" cy="65482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171347">
    <w:abstractNumId w:val="8"/>
  </w:num>
  <w:num w:numId="2" w16cid:durableId="374963026">
    <w:abstractNumId w:val="6"/>
  </w:num>
  <w:num w:numId="3" w16cid:durableId="972364842">
    <w:abstractNumId w:val="5"/>
  </w:num>
  <w:num w:numId="4" w16cid:durableId="2028675958">
    <w:abstractNumId w:val="4"/>
  </w:num>
  <w:num w:numId="5" w16cid:durableId="351492559">
    <w:abstractNumId w:val="7"/>
  </w:num>
  <w:num w:numId="6" w16cid:durableId="1598295405">
    <w:abstractNumId w:val="3"/>
  </w:num>
  <w:num w:numId="7" w16cid:durableId="697244937">
    <w:abstractNumId w:val="2"/>
  </w:num>
  <w:num w:numId="8" w16cid:durableId="1868136099">
    <w:abstractNumId w:val="1"/>
  </w:num>
  <w:num w:numId="9" w16cid:durableId="637953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4105"/>
    <w:rsid w:val="00A72A23"/>
    <w:rsid w:val="00AA1D8D"/>
    <w:rsid w:val="00B12F69"/>
    <w:rsid w:val="00B47730"/>
    <w:rsid w:val="00CB0664"/>
    <w:rsid w:val="00D10F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85CB56"/>
  <w14:defaultImageDpi w14:val="300"/>
  <w15:docId w15:val="{F6829145-611B-4F3B-8EB6-C4C4230D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rFonts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outlineLvl w:val="1"/>
    </w:pPr>
    <w:rPr>
      <w:rFonts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contextualSpacing/>
    </w:pPr>
    <w:rPr>
      <w:rFonts w:ascii="Times New Roman" w:hAnsi="Times New Roman"/>
      <w:spacing w:val="5"/>
      <w:kern w:val="28"/>
      <w:sz w:val="24"/>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Enhancement</dc:title>
  <dc:subject/>
  <dc:creator>Jadan Morrow</dc:creator>
  <cp:keywords/>
  <dc:description/>
  <cp:lastModifiedBy>Jadan Morrow</cp:lastModifiedBy>
  <cp:revision>3</cp:revision>
  <dcterms:created xsi:type="dcterms:W3CDTF">2013-12-23T23:15:00Z</dcterms:created>
  <dcterms:modified xsi:type="dcterms:W3CDTF">2026-09-20T20:55:00Z</dcterms:modified>
  <cp:category/>
</cp:coreProperties>
</file>