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jc w:val="center"/>
      </w:pPr>
      <w:r>
        <w:rPr>
          <w:b/>
          <w:color w:val="000000"/>
        </w:rPr>
        <w:t>Professional Self Assessment</w:t>
      </w:r>
    </w:p>
    <w:p>
      <w:pPr>
        <w:jc w:val="center"/>
      </w:pPr>
      <w:r>
        <w:t>Jadan Morrow</w:t>
        <w:br/>
        <w:t>CS 499 | 7-1 Final Project</w:t>
        <w:br/>
        <w:t>October 8, 2026</w:t>
      </w:r>
    </w:p>
    <w:p>
      <w:pPr>
        <w:pStyle w:val="Heading1"/>
        <w:keepNext/>
        <w:pageBreakBefore w:val="0"/>
      </w:pPr>
      <w:r>
        <w:t>My direction as a software engineer</w:t>
      </w:r>
    </w:p>
    <w:p>
      <w:pPr>
        <w:ind w:firstLine="720"/>
      </w:pPr>
      <w:r>
        <w:t>My goal is to become a software engineer who can build useful applications and explain why they work. Completing the Computer Science program has helped me see that programming is only part of that job. I also need to understand the user's problem, organize responsibilities, test failure cases, and protect the data the application handles. My ePortfolio brings those responsibilities together through three enhancements to a rescue-animal dashboard. Each enhancement shows a different part of how I approach a problem, and the evidence explains what I verified and what I have not tested.</w:t>
      </w:r>
    </w:p>
    <w:p>
      <w:pPr>
        <w:ind w:firstLine="720"/>
      </w:pPr>
      <w:r>
        <w:t>I plan to pursue a Microsoft platform developer certification and Databricks certifications. Those plans fit my interest in applications that depend on reliable data. The capstone has made my next steps more specific: keep improving my ability to design clear interfaces between components, evaluate performance with measurements, and communicate the limits of a solution. I value maintainability and honest evidence because another developer or user needs to be able to trust more than a working screenshot.</w:t>
      </w:r>
    </w:p>
    <w:p>
      <w:pPr>
        <w:pStyle w:val="Heading1"/>
        <w:keepNext/>
        <w:pageBreakBefore w:val="0"/>
      </w:pPr>
      <w:r>
        <w:t>Working with people and explaining decisions</w:t>
      </w:r>
    </w:p>
    <w:p>
      <w:pPr>
        <w:ind w:firstLine="720"/>
      </w:pPr>
      <w:r>
        <w:t>This capstone was an individual project, so I do not present it as evidence that I led or worked on a development team. It did give me practice using review feedback to improve my work. My instructor asked for clearer connections between outcomes and evidence, more specific test examples, and stronger support for collaboration. I responded by making the evidence easier to trace and adding a review and handoff guide. The guide connects user concerns to developer checks, describes how a reviewer can reproduce a result, and explains how to document a proposed change and its acceptance criteria. These are strategies for building a collaborative environment; a future team would still need to use and evaluate them.</w:t>
      </w:r>
    </w:p>
    <w:p>
      <w:pPr>
        <w:ind w:firstLine="720"/>
      </w:pPr>
      <w:r>
        <w:t>A rescue coordinator, a maintainer, and a database administrator need different explanations. A coordinator needs to know that a shortlist is based on geographic distance, not training suitability or driving time. A maintainer needs to know that equal distances are ordered by permanent record ID and that invalid coordinates are excluded. An administrator needs to know that the running application uses a reader account while setup uses a separate maintenance account. Explaining the same feature at those levels supports decisions without asking every audience to read the code. My code-review video, plain-language narratives, setup instructions, and benchmark visuals provide those different entry points.</w:t>
      </w:r>
    </w:p>
    <w:p>
      <w:pPr>
        <w:pStyle w:val="Heading1"/>
        <w:keepNext/>
        <w:pageBreakBefore w:val="0"/>
      </w:pPr>
      <w:r>
        <w:t>Learning beyond the portfolio artifact</w:t>
      </w:r>
    </w:p>
    <w:p>
      <w:pPr>
        <w:ind w:firstLine="720"/>
      </w:pPr>
      <w:r>
        <w:t>My CS 405 SQL-injection activity is a useful example outside this portfolio's rescue-dashboard artifact. That C++ exercise accepted a small set of query forms and translated allowed requests into fixed SQLite prepared statements with bound values. Its validation log records 35 checks with no failures, including escaped quotes, rejected query variants, oversized requests, and a check that the database remained intact. The accompanying explanation makes the limitation clear: the allowlist supports the course application's needs and is not a general SQL parser. That work reinforced a principle I use in the dashboard: accept only the inputs the application needs, keep values separate from executable instructions, and test what happens when a request is rejected.</w:t>
      </w:r>
    </w:p>
    <w:p>
      <w:pPr>
        <w:ind w:firstLine="720"/>
      </w:pPr>
      <w:r>
        <w:t>The CS 405 README also helped me think about communication during a handoff. Build instructions, expected output, and known limits give another person a way to check the work. For example, a reviewer should not mistake fictitious plaintext passwords in an in-memory teaching database for a production credential-storage design. Stating that distinction is part of making technical work understandable and preventing a demonstration from being reused in the wrong setting.</w:t>
      </w:r>
    </w:p>
    <w:p>
      <w:pPr>
        <w:pStyle w:val="Heading1"/>
        <w:keepNext/>
        <w:pageBreakBefore w:val="0"/>
      </w:pPr>
      <w:r>
        <w:t>Engineering and evaluating a complete solution</w:t>
      </w:r>
    </w:p>
    <w:p>
      <w:pPr>
        <w:ind w:firstLine="720"/>
      </w:pPr>
      <w:r>
        <w:t>The software-design enhancement separates the dashboard's interface, service logic, domain rules, configuration, and repository. Injecting a repository lets tests supply controlled records or failures without requiring a live database. It also gives a future maintainer a smaller area to change. The original software-design version has a 58-test baseline, including live database checks. I learned that clear boundaries help most when they make a specific behavior easier to test or explain.</w:t>
      </w:r>
    </w:p>
    <w:p>
      <w:pPr>
        <w:ind w:firstLine="720"/>
      </w:pPr>
      <w:r>
        <w:t>The algorithm enhancement adds a nearest-candidate shortlist using Haversine distance and a bounded heap. I compare it with a full-sort reference and test known distances, tied distances, invalid locations, and the requested shortlist limit. In the recorded ranking-only benchmark, 100,000 records with a shortlist of 10 took 273.618 ms for the heap and 345.706 ms for the full sort. Traced temporary allocation was about 3.65 KiB versus 17,970.02 KiB. Those measurements exclude database reads and the prebuilt input records. The full sort was faster for the smallest dataset with the larger shortlist, so the evidence supports a trade-off rather than a universal speed claim.</w:t>
      </w:r>
    </w:p>
    <w:p>
      <w:pPr>
        <w:ind w:firstLine="720"/>
      </w:pPr>
      <w:r>
        <w:t>The database enhancement changes how records reach the application. Keyset pages limit the displayed rows, the breed summary covers the full selected category, and a projected cursor supplies records to the ranking algorithm. In the recorded 10,000-record benchmark, streaming reduced peak traced Python allocation from about 13.19 MB to 0.16 MB but took longer. I also added import preview, collection validation, and permission checks. The configured suite passed all 160 tests, including 27 live MongoDB cases. These results use fictional data on a local test system; they do not establish production performance or suitability for a real rescue organization.</w:t>
      </w:r>
    </w:p>
    <w:p>
      <w:pPr>
        <w:pStyle w:val="Heading1"/>
        <w:keepNext/>
        <w:pageBreakBefore w:val="0"/>
      </w:pPr>
      <w:r>
        <w:t>Security and course outcomes</w:t>
      </w:r>
    </w:p>
    <w:p>
      <w:pPr>
        <w:ind w:firstLine="720"/>
      </w:pPr>
      <w:r>
        <w:t>Security is part of the design rather than a final cleanup step. The dashboard validates categories, coordinates, page sizes, and cursor values before querying. Credentials are configured outside the source, failures produce safe messages, and the running account has read-only access. Six live permission checks verify that the reader cannot insert, update, delete, create an index, change the schema, or read another database. These controls address concrete risks, while broader deployment security, real-data privacy review, and multi-user load testing remain future work.</w:t>
      </w:r>
    </w:p>
    <w:p>
      <w:pPr>
        <w:ind w:firstLine="720"/>
      </w:pPr>
      <w:r>
        <w:t>Together, the portfolio provides evidence for all five course outcomes. Outcome 1 is supported by the feedback-to-change record, review instructions, and documented strategies for including different audiences in decisions. Outcome 2 is supported by the video and written and visual explanations. Outcome 3 is demonstrated by the heap reasoning, independent checks, and measured time and memory trade-offs. Outcome 4 is demonstrated by the runnable application and repeatable tests across its layers. Outcome 5 is demonstrated by validation, restricted database access, safe failures, and the related secure-coding example. The strength of Outcome 1 is the review process and handoff support; it is not a claim of completed team development.</w:t>
      </w:r>
    </w:p>
    <w:p>
      <w:pPr>
        <w:pStyle w:val="Heading1"/>
        <w:keepNext/>
        <w:pageBreakBefore w:val="0"/>
      </w:pPr>
      <w:r>
        <w:t>How the artifacts fit together</w:t>
      </w:r>
    </w:p>
    <w:p>
      <w:pPr>
        <w:ind w:firstLine="720"/>
      </w:pPr>
      <w:r>
        <w:t>The original CS 340 dashboard is the starting point. The software-design version makes its responsibilities clearer, the algorithm version adds a useful selection feature, and the database version improves how that feature receives and protects data. Each version is preserved so a reviewer can compare the work at the point of each enhancement. The narratives explain what changed and what I learned, while the original code review preserves the plan that guided those changes. This portfolio represents my progress toward building software that someone else can understand, verify, and maintain.</w:t>
      </w:r>
    </w:p>
    <w:sectPr w:rsidR="00B12F69" w:rsidSect="00034616">
      <w:headerReference w:type="default" r:id="rId8"/>
      <w:pgSz w:w="12240" w:h="15840"/>
      <w:pgMar w:top="1440" w:right="1440" w:bottom="1440" w:left="1440" w:header="216"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9C45B" w14:textId="77777777" w:rsidR="00A72A23" w:rsidRDefault="00A72A23">
      <w:pPr>
        <w:spacing w:line="240" w:lineRule="auto"/>
      </w:pPr>
      <w:r>
        <w:separator/>
      </w:r>
    </w:p>
  </w:endnote>
  <w:endnote w:type="continuationSeparator" w:id="0">
    <w:p w14:paraId="6CC4EE82" w14:textId="77777777" w:rsidR="00A72A23" w:rsidRDefault="00A72A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2F377A" w14:textId="77777777" w:rsidR="00A72A23" w:rsidRDefault="00A72A23">
      <w:pPr>
        <w:spacing w:line="240" w:lineRule="auto"/>
      </w:pPr>
      <w:r>
        <w:separator/>
      </w:r>
    </w:p>
  </w:footnote>
  <w:footnote w:type="continuationSeparator" w:id="0">
    <w:p w14:paraId="0346F4A7" w14:textId="77777777" w:rsidR="00A72A23" w:rsidRDefault="00A72A2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20288" w14:textId="77777777" w:rsidR="00B12F69" w:rsidRDefault="00000000">
    <w:pPr>
      <w:pStyle w:val="Header"/>
      <w:jc w:val="center"/>
    </w:pPr>
    <w:r>
      <w:rPr>
        <w:noProof/>
      </w:rPr>
      <w:drawing>
        <wp:inline distT="0" distB="0" distL="0" distR="0" wp14:anchorId="4C1A2EB4" wp14:editId="237E81D0">
          <wp:extent cx="1508760" cy="6548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hu_logo_rgb.png"/>
                  <pic:cNvPicPr/>
                </pic:nvPicPr>
                <pic:blipFill>
                  <a:blip r:embed="rId1"/>
                  <a:stretch>
                    <a:fillRect/>
                  </a:stretch>
                </pic:blipFill>
                <pic:spPr>
                  <a:xfrm>
                    <a:off x="0" y="0"/>
                    <a:ext cx="1508760" cy="65482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1171347">
    <w:abstractNumId w:val="8"/>
  </w:num>
  <w:num w:numId="2" w16cid:durableId="374963026">
    <w:abstractNumId w:val="6"/>
  </w:num>
  <w:num w:numId="3" w16cid:durableId="972364842">
    <w:abstractNumId w:val="5"/>
  </w:num>
  <w:num w:numId="4" w16cid:durableId="2028675958">
    <w:abstractNumId w:val="4"/>
  </w:num>
  <w:num w:numId="5" w16cid:durableId="351492559">
    <w:abstractNumId w:val="7"/>
  </w:num>
  <w:num w:numId="6" w16cid:durableId="1598295405">
    <w:abstractNumId w:val="3"/>
  </w:num>
  <w:num w:numId="7" w16cid:durableId="697244937">
    <w:abstractNumId w:val="2"/>
  </w:num>
  <w:num w:numId="8" w16cid:durableId="1868136099">
    <w:abstractNumId w:val="1"/>
  </w:num>
  <w:num w:numId="9" w16cid:durableId="6379538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44105"/>
    <w:rsid w:val="00A72A23"/>
    <w:rsid w:val="00AA1D8D"/>
    <w:rsid w:val="00B12F69"/>
    <w:rsid w:val="00B47730"/>
    <w:rsid w:val="00CB0664"/>
    <w:rsid w:val="00D10FB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85CB56"/>
  <w14:defaultImageDpi w14:val="300"/>
  <w15:docId w15:val="{F6829145-611B-4F3B-8EB6-C4C4230D7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outlineLvl w:val="0"/>
    </w:pPr>
    <w:rPr>
      <w:rFonts w:ascii="Times New Roman" w:hAnsi="Times New Roman"/>
      <w:b/>
      <w:bCs/>
      <w:sz w:val="24"/>
      <w:szCs w:val="28"/>
    </w:rPr>
  </w:style>
  <w:style w:type="paragraph" w:styleId="Heading2">
    <w:name w:val="heading 2"/>
    <w:basedOn w:val="Normal"/>
    <w:next w:val="Normal"/>
    <w:link w:val="Heading2Char"/>
    <w:uiPriority w:val="9"/>
    <w:unhideWhenUsed/>
    <w:qFormat/>
    <w:rsid w:val="00FC693F"/>
    <w:pPr>
      <w:keepNext/>
      <w:keepLines/>
      <w:outlineLvl w:val="1"/>
    </w:pPr>
    <w:rPr>
      <w:rFonts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b/>
      <w:bCs/>
      <w:color w:val="365F91" w:themeColor="accent1" w:themeShade="BF"/>
      <w:sz w:val="28"/>
      <w:szCs w:val="28"/>
    </w:rPr>
  </w:style>
  <w:style w:type="character" w:customStyle="1" w:styleId="Heading2Char">
    <w:name w:val="Heading 2 Char"/>
    <w:basedOn w:val="DefaultParagraphFont"/>
    <w:link w:val="Heading2"/>
    <w:uiPriority w:val="9"/>
    <w:rsid w:val="00FC693F"/>
    <w:rPr>
      <w:b/>
      <w:bCs/>
      <w:color w:val="4F81BD" w:themeColor="accent1"/>
      <w:sz w:val="26"/>
      <w:szCs w:val="26"/>
    </w:rPr>
  </w:style>
  <w:style w:type="character" w:customStyle="1" w:styleId="Heading3Char">
    <w:name w:val="Heading 3 Char"/>
    <w:basedOn w:val="DefaultParagraphFont"/>
    <w:link w:val="Heading3"/>
    <w:uiPriority w:val="9"/>
    <w:rsid w:val="00FC693F"/>
    <w:rPr>
      <w:b/>
      <w:bCs/>
      <w:color w:val="4F81BD" w:themeColor="accent1"/>
    </w:rPr>
  </w:style>
  <w:style w:type="paragraph" w:styleId="Title">
    <w:name w:val="Title"/>
    <w:basedOn w:val="Normal"/>
    <w:next w:val="Normal"/>
    <w:link w:val="TitleChar"/>
    <w:uiPriority w:val="10"/>
    <w:qFormat/>
    <w:rsid w:val="00FC693F"/>
    <w:pPr>
      <w:contextualSpacing/>
    </w:pPr>
    <w:rPr>
      <w:rFonts w:ascii="Times New Roman" w:hAnsi="Times New Roman"/>
      <w:spacing w:val="5"/>
      <w:kern w:val="28"/>
      <w:sz w:val="24"/>
      <w:szCs w:val="52"/>
    </w:rPr>
  </w:style>
  <w:style w:type="character" w:customStyle="1" w:styleId="TitleChar">
    <w:name w:val="Title Char"/>
    <w:basedOn w:val="DefaultParagraphFont"/>
    <w:link w:val="Title"/>
    <w:uiPriority w:val="10"/>
    <w:rsid w:val="00FC693F"/>
    <w:rPr>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color w:val="4F81BD" w:themeColor="accent1"/>
      <w:spacing w:val="15"/>
      <w:szCs w:val="24"/>
    </w:rPr>
  </w:style>
  <w:style w:type="character" w:customStyle="1" w:styleId="SubtitleChar">
    <w:name w:val="Subtitle Char"/>
    <w:basedOn w:val="DefaultParagraphFont"/>
    <w:link w:val="Subtitle"/>
    <w:uiPriority w:val="11"/>
    <w:rsid w:val="00FC693F"/>
    <w:rPr>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b/>
      <w:bCs/>
      <w:i/>
      <w:iCs/>
      <w:color w:val="4F81BD" w:themeColor="accent1"/>
    </w:rPr>
  </w:style>
  <w:style w:type="character" w:customStyle="1" w:styleId="Heading5Char">
    <w:name w:val="Heading 5 Char"/>
    <w:basedOn w:val="DefaultParagraphFont"/>
    <w:link w:val="Heading5"/>
    <w:uiPriority w:val="9"/>
    <w:semiHidden/>
    <w:rsid w:val="00FC693F"/>
    <w:rPr>
      <w:color w:val="243F60" w:themeColor="accent1" w:themeShade="7F"/>
    </w:rPr>
  </w:style>
  <w:style w:type="character" w:customStyle="1" w:styleId="Heading6Char">
    <w:name w:val="Heading 6 Char"/>
    <w:basedOn w:val="DefaultParagraphFont"/>
    <w:link w:val="Heading6"/>
    <w:uiPriority w:val="9"/>
    <w:semiHidden/>
    <w:rsid w:val="00FC693F"/>
    <w:rPr>
      <w:i/>
      <w:iCs/>
      <w:color w:val="243F60" w:themeColor="accent1" w:themeShade="7F"/>
    </w:rPr>
  </w:style>
  <w:style w:type="character" w:customStyle="1" w:styleId="Heading7Char">
    <w:name w:val="Heading 7 Char"/>
    <w:basedOn w:val="DefaultParagraphFont"/>
    <w:link w:val="Heading7"/>
    <w:uiPriority w:val="9"/>
    <w:semiHidden/>
    <w:rsid w:val="00FC693F"/>
    <w:rPr>
      <w:i/>
      <w:iCs/>
      <w:color w:val="404040" w:themeColor="text1" w:themeTint="BF"/>
    </w:rPr>
  </w:style>
  <w:style w:type="character" w:customStyle="1" w:styleId="Heading8Char">
    <w:name w:val="Heading 8 Char"/>
    <w:basedOn w:val="DefaultParagraphFont"/>
    <w:link w:val="Heading8"/>
    <w:uiPriority w:val="9"/>
    <w:semiHidden/>
    <w:rsid w:val="00FC693F"/>
    <w:rPr>
      <w:color w:val="4F81BD" w:themeColor="accent1"/>
      <w:sz w:val="20"/>
      <w:szCs w:val="20"/>
    </w:rPr>
  </w:style>
  <w:style w:type="character" w:customStyle="1" w:styleId="Heading9Char">
    <w:name w:val="Heading 9 Char"/>
    <w:basedOn w:val="DefaultParagraphFont"/>
    <w:link w:val="Heading9"/>
    <w:uiPriority w:val="9"/>
    <w:semiHidden/>
    <w:rsid w:val="00FC693F"/>
    <w:rPr>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b/>
        <w:bCs/>
      </w:rPr>
    </w:tblStylePr>
    <w:tblStylePr w:type="lastCol">
      <w:rPr>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b/>
        <w:bCs/>
      </w:rPr>
    </w:tblStylePr>
    <w:tblStylePr w:type="lastCol">
      <w:rPr>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b/>
        <w:bCs/>
      </w:rPr>
    </w:tblStylePr>
    <w:tblStylePr w:type="lastCol">
      <w:rPr>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b/>
        <w:bCs/>
      </w:rPr>
    </w:tblStylePr>
    <w:tblStylePr w:type="lastCol">
      <w:rPr>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b/>
        <w:bCs/>
      </w:rPr>
    </w:tblStylePr>
    <w:tblStylePr w:type="lastCol">
      <w:rPr>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b/>
        <w:bCs/>
      </w:rPr>
    </w:tblStylePr>
    <w:tblStylePr w:type="lastCol">
      <w:rPr>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b/>
        <w:bCs/>
      </w:rPr>
    </w:tblStylePr>
    <w:tblStylePr w:type="lastCol">
      <w:rPr>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Pages>
  <Words>634</Words>
  <Characters>3619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Professional Self Assessment</dc:title>
  <dc:subject/>
  <dc:creator>Jadan Morrow</dc:creator>
  <cp:keywords/>
  <dc:description/>
  <cp:lastModifiedBy>Jadan Morrow</cp:lastModifiedBy>
  <cp:revision>3</cp:revision>
  <dcterms:created xsi:type="dcterms:W3CDTF">2013-12-23T23:15:00Z</dcterms:created>
  <dcterms:modified xsi:type="dcterms:W3CDTF">2026-09-20T20:55:00Z</dcterms:modified>
  <cp:category/>
</cp:coreProperties>
</file>