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Непараметрическая регрессия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jc w:val="both"/>
        <w:rPr>
          <w:b w:val="1"/>
          <w:sz w:val="34"/>
          <w:szCs w:val="34"/>
        </w:rPr>
      </w:pPr>
      <w:bookmarkStart w:colFirst="0" w:colLast="0" w:name="_k022jjiae7qv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Цели работы: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практика первичных навыков обработки данных: нормализация, One-Hot преобразование;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сведение задачи классификации к задаче непараметрической регрессии;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реализация решения задачи непараметрической регрессии ядерным сглаживанием Надарая Ватсона;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практика наивного способа настройки и анализа гиперпараметров модели, решающей задачу непараметрической регрессии.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pacing w:before="480" w:lineRule="auto"/>
        <w:jc w:val="both"/>
        <w:rPr>
          <w:b w:val="1"/>
          <w:sz w:val="34"/>
          <w:szCs w:val="34"/>
        </w:rPr>
      </w:pPr>
      <w:bookmarkStart w:colFirst="0" w:colLast="0" w:name="_uvj5yzg1fnb4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Набор данных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Выберите любой понравившийся набор данных для задачи классификации из следующего списка: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car </w:t>
      </w: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https://www.openml.org/d/40975</w:t>
        </w:r>
      </w:hyperlink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vehicle </w:t>
      </w: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https://www.openml.org/d/54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wine </w:t>
      </w:r>
      <w:hyperlink r:id="rId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https://www.openml.org/d/187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bridges </w:t>
      </w:r>
      <w:hyperlink r:id="rId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https://www.openml.org/d/327</w:t>
        </w:r>
      </w:hyperlink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spacing w:before="480" w:lineRule="auto"/>
        <w:jc w:val="both"/>
        <w:rPr>
          <w:b w:val="1"/>
          <w:sz w:val="34"/>
          <w:szCs w:val="34"/>
        </w:rPr>
      </w:pPr>
      <w:bookmarkStart w:colFirst="0" w:colLast="0" w:name="_tltqzuxw4xhh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Сведение к задаче регрессии и обработка данных</w:t>
      </w:r>
    </w:p>
    <w:p w:rsidR="00000000" w:rsidDel="00000000" w:rsidP="00000000" w:rsidRDefault="00000000" w:rsidRPr="00000000" w14:paraId="0000000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Перейдите от задачи классификации к задаче регрессии, используя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OneHot преобразование</w:t>
        </w:r>
      </w:hyperlink>
      <w:r w:rsidDel="00000000" w:rsidR="00000000" w:rsidRPr="00000000">
        <w:rPr>
          <w:rtl w:val="0"/>
        </w:rPr>
        <w:t xml:space="preserve">. Вместо одного целевого признака в выбранный набор данных добавляется столько новых числовых переменных, сколько в нём содержится классов. Помимо этого, если выбранный Вами набор данных содержит нечисловые признаки, эти признаки необходимо векторизовать (перейти от категорий к числам), заполнить пропуски (если есть) и нормализовать. В наборе данных bridges также необходимо избавиться от столбца </w:t>
      </w:r>
      <w:r w:rsidDel="00000000" w:rsidR="00000000" w:rsidRPr="00000000">
        <w:rPr>
          <w:rFonts w:ascii="Roboto" w:cs="Roboto" w:eastAsia="Roboto" w:hAnsi="Roboto"/>
          <w:color w:val="666666"/>
          <w:highlight w:val="white"/>
          <w:rtl w:val="0"/>
        </w:rPr>
        <w:t xml:space="preserve">IDENTIF,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поскольку он является идентификатором записи.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spacing w:before="480" w:lineRule="auto"/>
        <w:jc w:val="both"/>
        <w:rPr>
          <w:b w:val="1"/>
          <w:sz w:val="34"/>
          <w:szCs w:val="34"/>
        </w:rPr>
      </w:pPr>
      <w:bookmarkStart w:colFirst="0" w:colLast="0" w:name="_i0ig7gkvbkjq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Реализация алгоритма и настройка гиперпараметров, анализ результатов</w:t>
      </w:r>
    </w:p>
    <w:p w:rsidR="00000000" w:rsidDel="00000000" w:rsidP="00000000" w:rsidRDefault="00000000" w:rsidRPr="00000000" w14:paraId="0000001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Реализуйте алгоритм решения задачи непареметрической регрессии при помощи ядерного сглаживания Надарая-Ватсона. </w:t>
      </w:r>
    </w:p>
    <w:p w:rsidR="00000000" w:rsidDel="00000000" w:rsidP="00000000" w:rsidRDefault="00000000" w:rsidRPr="00000000" w14:paraId="0000001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Найдите лучшую комбинацию гиперпараметров алгоритма непараметрической регрессии: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функция расстояния: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расстояние Евклида,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расстояние Манхэттена, 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расстояние Чебышева; 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функция ядра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1905000</wp:posOffset>
            </wp:positionH>
            <wp:positionV relativeFrom="paragraph">
              <wp:posOffset>114300</wp:posOffset>
            </wp:positionV>
            <wp:extent cx="781050" cy="390525"/>
            <wp:effectExtent b="0" l="0" r="0" t="0"/>
            <wp:wrapSquare wrapText="bothSides" distB="114300" distT="114300" distL="114300" distR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390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24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uniform: </w:t>
      </w:r>
    </w:p>
    <w:p w:rsidR="00000000" w:rsidDel="00000000" w:rsidP="00000000" w:rsidRDefault="00000000" w:rsidRPr="00000000" w14:paraId="0000001A">
      <w:pPr>
        <w:spacing w:after="240" w:before="24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1905000</wp:posOffset>
            </wp:positionH>
            <wp:positionV relativeFrom="paragraph">
              <wp:posOffset>338138</wp:posOffset>
            </wp:positionV>
            <wp:extent cx="1276350" cy="219075"/>
            <wp:effectExtent b="0" l="0" r="0" t="0"/>
            <wp:wrapSquare wrapText="bothSides" distB="57150" distT="57150" distL="57150" distR="5715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219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240" w:befor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triangular: </w:t>
      </w:r>
    </w:p>
    <w:p w:rsidR="00000000" w:rsidDel="00000000" w:rsidP="00000000" w:rsidRDefault="00000000" w:rsidRPr="00000000" w14:paraId="0000001C">
      <w:pPr>
        <w:spacing w:after="240" w:before="24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2009775</wp:posOffset>
            </wp:positionH>
            <wp:positionV relativeFrom="paragraph">
              <wp:posOffset>238125</wp:posOffset>
            </wp:positionV>
            <wp:extent cx="1409700" cy="390525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390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240" w:befor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epanechnikov: </w:t>
      </w:r>
    </w:p>
    <w:p w:rsidR="00000000" w:rsidDel="00000000" w:rsidP="00000000" w:rsidRDefault="00000000" w:rsidRPr="00000000" w14:paraId="0000001E">
      <w:pPr>
        <w:spacing w:after="240" w:before="24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1752600</wp:posOffset>
            </wp:positionH>
            <wp:positionV relativeFrom="paragraph">
              <wp:posOffset>247650</wp:posOffset>
            </wp:positionV>
            <wp:extent cx="1581150" cy="390525"/>
            <wp:effectExtent b="0" l="0" r="0" t="0"/>
            <wp:wrapSquare wrapText="bothSides" distB="114300" distT="114300" distL="114300" distR="11430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390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240" w:befor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quartic: </w:t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тип окна (окно, зависящее от количества соседей и фиксированное)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параметр окна: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u w:val="single"/>
          <w:rtl w:val="0"/>
        </w:rPr>
        <w:t xml:space="preserve">количество ближайших соседей</w:t>
      </w:r>
      <w:r w:rsidDel="00000000" w:rsidR="00000000" w:rsidRPr="00000000">
        <w:rPr>
          <w:rtl w:val="0"/>
        </w:rPr>
        <w:t xml:space="preserve"> от 1 до </w:t>
      </w:r>
      <m:oMath>
        <m:rad>
          <m:radPr>
            <m:degHide m:val="1"/>
            <m:ctrl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m:ctrlPr>
          </m:radPr>
          <m:e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|D|,</m:t>
            </m:r>
          </m:e>
        </m:rad>
        <m:r>
          <w:rPr>
            <w:rFonts w:ascii="Times New Roman" w:cs="Times New Roman" w:eastAsia="Times New Roman" w:hAnsi="Times New Roman"/>
            <w:b w:val="1"/>
            <w:sz w:val="28"/>
            <w:szCs w:val="28"/>
          </w:rPr>
          <m:t xml:space="preserve">  |D|</m:t>
        </m:r>
        <m:r>
          <w:rPr/>
          <m:t xml:space="preserve"> —</m:t>
        </m:r>
      </m:oMath>
      <w:r w:rsidDel="00000000" w:rsidR="00000000" w:rsidRPr="00000000">
        <w:rPr>
          <w:rtl w:val="0"/>
        </w:rPr>
        <w:t xml:space="preserve"> размер набора данных, </w:t>
      </w:r>
      <m:oMath>
        <m:rad>
          <m:radPr>
            <m:degHide m:val="1"/>
            <m:ctrl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m:ctrlPr>
          </m:radPr>
          <m:e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|D|</m:t>
            </m:r>
          </m:e>
        </m:rad>
      </m:oMath>
      <w:r w:rsidDel="00000000" w:rsidR="00000000" w:rsidRPr="00000000">
        <w:rPr>
          <w:rtl w:val="0"/>
        </w:rPr>
        <w:t xml:space="preserve"> является эвристикой на число ближайших соседей для метрических алгоритмов </w:t>
      </w:r>
      <w:r w:rsidDel="00000000" w:rsidR="00000000" w:rsidRPr="00000000">
        <w:rPr>
          <w:b w:val="1"/>
          <w:rtl w:val="0"/>
        </w:rPr>
        <w:t xml:space="preserve">ИЛИ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after="240" w:before="0" w:beforeAutospacing="0" w:lineRule="auto"/>
        <w:ind w:left="1440" w:hanging="360"/>
        <w:jc w:val="both"/>
      </w:pPr>
      <w:r w:rsidDel="00000000" w:rsidR="00000000" w:rsidRPr="00000000">
        <w:rPr>
          <w:u w:val="single"/>
          <w:rtl w:val="0"/>
        </w:rPr>
        <w:t xml:space="preserve">размер окна</w:t>
      </w:r>
      <w:r w:rsidDel="00000000" w:rsidR="00000000" w:rsidRPr="00000000">
        <w:rPr>
          <w:rtl w:val="0"/>
        </w:rPr>
        <w:t xml:space="preserve">, его необходимо выбирать исходя из “размеров” набора данных; хорошей практикой является настройка ширины окна на отрезке </w:t>
      </w:r>
      <m:oMath>
        <m:r>
          <w:rPr>
            <w:sz w:val="32"/>
            <w:szCs w:val="32"/>
          </w:rPr>
          <m:t xml:space="preserve">[</m:t>
        </m:r>
        <m:f>
          <m:fPr>
            <m:ctrlPr>
              <w:rPr>
                <w:sz w:val="32"/>
                <w:szCs w:val="32"/>
              </w:rPr>
            </m:ctrlPr>
          </m:fPr>
          <m:num>
            <m:r>
              <w:rPr>
                <w:sz w:val="32"/>
                <w:szCs w:val="32"/>
              </w:rPr>
              <m:t xml:space="preserve">R(D)</m:t>
            </m:r>
          </m:num>
          <m:den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radPr>
              <m:e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|D|</m:t>
                </m:r>
              </m:e>
            </m:rad>
          </m:den>
        </m:f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;R(D)]</m:t>
        </m:r>
      </m:oMath>
      <w:r w:rsidDel="00000000" w:rsidR="00000000" w:rsidRPr="00000000">
        <w:rPr>
          <w:rtl w:val="0"/>
        </w:rPr>
        <w:t xml:space="preserve">  с шагом</w:t>
      </w:r>
      <m:oMath>
        <m:r>
          <w:rPr/>
          <m:t xml:space="preserve"> </m:t>
        </m:r>
        <m:r>
          <w:rPr>
            <w:sz w:val="32"/>
            <w:szCs w:val="32"/>
          </w:rPr>
          <m:t xml:space="preserve">R(D) / 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m:ctrlPr>
          </m:radPr>
          <m:e>
            <m:r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  <m:t xml:space="preserve">|D|,</m:t>
            </m:r>
          </m:e>
        </m:rad>
        <m:r>
          <w:rPr/>
          <m:t xml:space="preserve"> </m:t>
        </m:r>
      </m:oMath>
      <w:r w:rsidDel="00000000" w:rsidR="00000000" w:rsidRPr="00000000">
        <w:rPr>
          <w:rtl w:val="0"/>
        </w:rPr>
        <w:t xml:space="preserve">где </w:t>
      </w:r>
      <m:oMath>
        <m:r>
          <w:rPr/>
          <m:t xml:space="preserve">R(D)</m:t>
        </m:r>
      </m:oMath>
      <w:r w:rsidDel="00000000" w:rsidR="00000000" w:rsidRPr="00000000">
        <w:rPr>
          <w:rtl w:val="0"/>
        </w:rPr>
        <w:t xml:space="preserve"> — самое большое расстояния между элементами в наборе данных.</w:t>
      </w:r>
    </w:p>
    <w:p w:rsidR="00000000" w:rsidDel="00000000" w:rsidP="00000000" w:rsidRDefault="00000000" w:rsidRPr="00000000" w14:paraId="0000002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Таким образом требуется перебрать </w:t>
      </w:r>
      <m:oMath>
        <m:r>
          <w:rPr>
            <w:sz w:val="26"/>
            <w:szCs w:val="26"/>
          </w:rPr>
          <m:t xml:space="preserve">24</m:t>
        </m:r>
        <m:rad>
          <m:radPr>
            <m:degHide m:val="1"/>
            <m:ctrlPr>
              <w:rPr>
                <w:sz w:val="26"/>
                <w:szCs w:val="26"/>
              </w:rPr>
            </m:ctrlPr>
          </m:radPr>
          <m:e>
            <m:r>
              <w:rPr>
                <w:sz w:val="26"/>
                <w:szCs w:val="26"/>
              </w:rPr>
              <m:t xml:space="preserve">|D|</m:t>
            </m:r>
          </m:e>
        </m:rad>
      </m:oMath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  <w:t xml:space="preserve">комбинаций гиперпараметров и </w:t>
      </w:r>
      <w:r w:rsidDel="00000000" w:rsidR="00000000" w:rsidRPr="00000000">
        <w:rPr>
          <w:u w:val="single"/>
          <w:rtl w:val="0"/>
        </w:rPr>
        <w:t xml:space="preserve">найти лучшую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2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Используйте Leave-One-Out перекрёстную проверку для настройки алгоритма. </w:t>
      </w:r>
    </w:p>
    <w:p w:rsidR="00000000" w:rsidDel="00000000" w:rsidP="00000000" w:rsidRDefault="00000000" w:rsidRPr="00000000" w14:paraId="0000002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Критерием качества является F-мера. Для её подсчёта потребуется определить максимальную компоненту результирующего вектора целевых признаков, полученных из One-Hot преобразования, после применения очередной конфигурации алгоритма непараметрической регрессии (алгоритм с одной из комбинаций гиперпараметров).</w:t>
      </w:r>
    </w:p>
    <w:p w:rsidR="00000000" w:rsidDel="00000000" w:rsidP="00000000" w:rsidRDefault="00000000" w:rsidRPr="00000000" w14:paraId="0000002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Для лучшей найденной комбинации гиперпараметров постройте графики зависимости F-меры от числа </w:t>
      </w:r>
      <w:r w:rsidDel="00000000" w:rsidR="00000000" w:rsidRPr="00000000">
        <w:rPr>
          <w:u w:val="single"/>
          <w:rtl w:val="0"/>
        </w:rPr>
        <w:t xml:space="preserve">ближайших соседей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или </w:t>
      </w:r>
      <w:r w:rsidDel="00000000" w:rsidR="00000000" w:rsidRPr="00000000">
        <w:rPr>
          <w:u w:val="single"/>
          <w:rtl w:val="0"/>
        </w:rPr>
        <w:t xml:space="preserve">ширины окна</w:t>
      </w:r>
      <w:r w:rsidDel="00000000" w:rsidR="00000000" w:rsidRPr="00000000">
        <w:rPr>
          <w:rtl w:val="0"/>
        </w:rPr>
        <w:t xml:space="preserve"> (при фиксированных лучших значениях прочих гиперпараметров). </w:t>
      </w:r>
    </w:p>
    <w:p w:rsidR="00000000" w:rsidDel="00000000" w:rsidP="00000000" w:rsidRDefault="00000000" w:rsidRPr="00000000" w14:paraId="00000029">
      <w:pPr>
        <w:spacing w:after="240" w:before="240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Схема работы</w:t>
      </w:r>
    </w:p>
    <w:p w:rsidR="00000000" w:rsidDel="00000000" w:rsidP="00000000" w:rsidRDefault="00000000" w:rsidRPr="00000000" w14:paraId="0000002B">
      <w:pPr>
        <w:spacing w:after="240" w:before="24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300663" cy="233186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0663" cy="2331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ru.wikipedia.org/wiki/%D0%A3%D0%BD%D0%B8%D1%82%D0%B0%D1%80%D0%BD%D1%8B%D0%B9_%D0%BA%D0%BE%D0%B4" TargetMode="External"/><Relationship Id="rId10" Type="http://schemas.openxmlformats.org/officeDocument/2006/relationships/hyperlink" Target="https://ru.wikipedia.org/wiki/%D0%A3%D0%BD%D0%B8%D1%82%D0%B0%D1%80%D0%BD%D1%8B%D0%B9_%D0%BA%D0%BE%D0%B4" TargetMode="External"/><Relationship Id="rId13" Type="http://schemas.openxmlformats.org/officeDocument/2006/relationships/image" Target="media/image5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openml.org/d/327" TargetMode="External"/><Relationship Id="rId15" Type="http://schemas.openxmlformats.org/officeDocument/2006/relationships/image" Target="media/image4.png"/><Relationship Id="rId14" Type="http://schemas.openxmlformats.org/officeDocument/2006/relationships/image" Target="media/image1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www.openml.org/d/40975" TargetMode="External"/><Relationship Id="rId7" Type="http://schemas.openxmlformats.org/officeDocument/2006/relationships/hyperlink" Target="https://www.openml.org/d/54" TargetMode="External"/><Relationship Id="rId8" Type="http://schemas.openxmlformats.org/officeDocument/2006/relationships/hyperlink" Target="https://www.openml.org/d/187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