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E97" w:rsidRPr="00145E97" w:rsidRDefault="00145E97" w:rsidP="00145E97">
      <w:pPr>
        <w:pStyle w:val="1"/>
        <w:rPr>
          <w:rFonts w:asciiTheme="majorHAnsi" w:hAnsiTheme="majorHAnsi"/>
          <w:sz w:val="32"/>
          <w:szCs w:val="32"/>
        </w:rPr>
      </w:pPr>
      <w:proofErr w:type="spellStart"/>
      <w:r w:rsidRPr="00145E97">
        <w:rPr>
          <w:rFonts w:asciiTheme="majorHAnsi" w:hAnsiTheme="majorHAnsi"/>
          <w:sz w:val="32"/>
          <w:szCs w:val="32"/>
        </w:rPr>
        <w:t>PEST</w:t>
      </w:r>
      <w:r w:rsidRPr="00145E97">
        <w:rPr>
          <w:rFonts w:asciiTheme="majorHAnsi" w:hAnsiTheme="majorHAnsi"/>
          <w:sz w:val="32"/>
          <w:szCs w:val="32"/>
        </w:rPr>
        <w:noBreakHyphen/>
        <w:t>анализ</w:t>
      </w:r>
      <w:proofErr w:type="spellEnd"/>
    </w:p>
    <w:p w:rsidR="004E5B5D" w:rsidRPr="004E5B5D" w:rsidRDefault="004E5B5D" w:rsidP="004E5B5D">
      <w:pPr>
        <w:shd w:val="clear" w:color="auto" w:fill="FFFFFF"/>
        <w:spacing w:after="120" w:line="240" w:lineRule="auto"/>
        <w:jc w:val="both"/>
        <w:rPr>
          <w:rFonts w:eastAsia="Times New Roman" w:cs="Times New Roman"/>
          <w:color w:val="000000"/>
          <w:lang w:eastAsia="ru-RU"/>
        </w:rPr>
      </w:pPr>
      <w:r w:rsidRPr="004E5B5D">
        <w:rPr>
          <w:rFonts w:eastAsia="Times New Roman" w:cs="Times New Roman"/>
          <w:color w:val="000000"/>
          <w:lang w:eastAsia="ru-RU"/>
        </w:rPr>
        <w:t>Ближнее окружение оказывает непосредственное воздействие на системы, а дальнее – опосредованное.Дальняя внешняя среда (или макроокружение) является частью внешней среды, но</w:t>
      </w:r>
      <w:r>
        <w:rPr>
          <w:rFonts w:eastAsia="Times New Roman" w:cs="Times New Roman"/>
          <w:color w:val="000000"/>
          <w:lang w:eastAsia="ru-RU"/>
        </w:rPr>
        <w:t xml:space="preserve"> </w:t>
      </w:r>
      <w:r w:rsidRPr="004E5B5D">
        <w:rPr>
          <w:rFonts w:eastAsia="Times New Roman" w:cs="Times New Roman"/>
          <w:color w:val="000000"/>
          <w:lang w:eastAsia="ru-RU"/>
        </w:rPr>
        <w:t>частью универсальной – общей для всех организаций. Но реакция каждой конкр</w:t>
      </w:r>
      <w:r>
        <w:rPr>
          <w:rFonts w:eastAsia="Times New Roman" w:cs="Times New Roman"/>
          <w:color w:val="000000"/>
          <w:lang w:eastAsia="ru-RU"/>
        </w:rPr>
        <w:t>етной орга</w:t>
      </w:r>
      <w:r w:rsidRPr="004E5B5D">
        <w:rPr>
          <w:rFonts w:eastAsia="Times New Roman" w:cs="Times New Roman"/>
          <w:color w:val="000000"/>
          <w:lang w:eastAsia="ru-RU"/>
        </w:rPr>
        <w:t>низации на воздействие макроокружения специфическая, она отражает особенность каждой</w:t>
      </w:r>
      <w:r>
        <w:rPr>
          <w:rFonts w:eastAsia="Times New Roman" w:cs="Times New Roman"/>
          <w:color w:val="000000"/>
          <w:lang w:eastAsia="ru-RU"/>
        </w:rPr>
        <w:t xml:space="preserve"> </w:t>
      </w:r>
      <w:r w:rsidRPr="004E5B5D">
        <w:rPr>
          <w:rFonts w:eastAsia="Times New Roman" w:cs="Times New Roman"/>
          <w:color w:val="000000"/>
          <w:lang w:eastAsia="ru-RU"/>
        </w:rPr>
        <w:t>организации и ту конкретную ситуацию, в которой та находится.</w:t>
      </w:r>
      <w:r>
        <w:rPr>
          <w:rFonts w:eastAsia="Times New Roman" w:cs="Times New Roman"/>
          <w:color w:val="000000"/>
          <w:lang w:eastAsia="ru-RU"/>
        </w:rPr>
        <w:t xml:space="preserve"> </w:t>
      </w:r>
      <w:r w:rsidRPr="004E5B5D">
        <w:rPr>
          <w:rFonts w:eastAsia="Times New Roman" w:cs="Times New Roman"/>
          <w:color w:val="000000"/>
          <w:lang w:eastAsia="ru-RU"/>
        </w:rPr>
        <w:t>Макроокружение организации как система вклю</w:t>
      </w:r>
      <w:r>
        <w:rPr>
          <w:rFonts w:eastAsia="Times New Roman" w:cs="Times New Roman"/>
          <w:color w:val="000000"/>
          <w:lang w:eastAsia="ru-RU"/>
        </w:rPr>
        <w:t>чает следующие подсистемы: поли</w:t>
      </w:r>
      <w:r w:rsidRPr="004E5B5D">
        <w:rPr>
          <w:rFonts w:eastAsia="Times New Roman" w:cs="Times New Roman"/>
          <w:color w:val="000000"/>
          <w:lang w:eastAsia="ru-RU"/>
        </w:rPr>
        <w:t>тику, экономику, общество, технологию, институты, природно-географические подсистемы</w:t>
      </w:r>
      <w:r>
        <w:rPr>
          <w:rFonts w:eastAsia="Times New Roman" w:cs="Times New Roman"/>
          <w:color w:val="000000"/>
          <w:lang w:eastAsia="ru-RU"/>
        </w:rPr>
        <w:t xml:space="preserve"> </w:t>
      </w:r>
      <w:r w:rsidRPr="004E5B5D">
        <w:rPr>
          <w:rFonts w:eastAsia="Times New Roman" w:cs="Times New Roman"/>
          <w:color w:val="000000"/>
          <w:lang w:eastAsia="ru-RU"/>
        </w:rPr>
        <w:t>и т. д.</w:t>
      </w:r>
      <w:r>
        <w:rPr>
          <w:rFonts w:eastAsia="Times New Roman" w:cs="Times New Roman"/>
          <w:color w:val="000000"/>
          <w:lang w:eastAsia="ru-RU"/>
        </w:rPr>
        <w:t xml:space="preserve"> </w:t>
      </w:r>
      <w:r w:rsidRPr="004E5B5D">
        <w:rPr>
          <w:rFonts w:eastAsia="Times New Roman" w:cs="Times New Roman"/>
          <w:color w:val="000000"/>
          <w:lang w:eastAsia="ru-RU"/>
        </w:rPr>
        <w:t>Для исследования макроокружения чаще всего проводится PEST-анализ</w:t>
      </w:r>
    </w:p>
    <w:p w:rsidR="00145E97" w:rsidRPr="00145E97" w:rsidRDefault="00145E97" w:rsidP="00145E97">
      <w:p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PEST-анализ основан на составлении перечня возможных воздействий по следующим направлениям (рис. 1):</w:t>
      </w:r>
    </w:p>
    <w:p w:rsidR="00145E97" w:rsidRPr="00145E97" w:rsidRDefault="00145E97" w:rsidP="00145E97">
      <w:pPr>
        <w:pStyle w:val="a7"/>
        <w:numPr>
          <w:ilvl w:val="0"/>
          <w:numId w:val="22"/>
        </w:num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политические факторы (Р): какие возможности и угрозы для бизнеса создает динамика политической ситуации; каковы главные тенденции, которые могут повлиять на деятельность компании?</w:t>
      </w:r>
    </w:p>
    <w:p w:rsidR="00145E97" w:rsidRPr="00145E97" w:rsidRDefault="00145E97" w:rsidP="00145E97">
      <w:pPr>
        <w:pStyle w:val="a7"/>
        <w:numPr>
          <w:ilvl w:val="0"/>
          <w:numId w:val="22"/>
        </w:num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состояние экономики (Е): каковы наиболее существенные ожидаемые события в экономике и как влияет экономическая ситуация на перспективы бизнеса?</w:t>
      </w:r>
    </w:p>
    <w:p w:rsidR="00145E97" w:rsidRPr="00145E97" w:rsidRDefault="00145E97" w:rsidP="00145E97">
      <w:pPr>
        <w:pStyle w:val="a7"/>
        <w:numPr>
          <w:ilvl w:val="0"/>
          <w:numId w:val="22"/>
        </w:num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социально-культурные особенности (S): в чем особенности социального, демографического, культурного свойства, которые должны учитываться в работе?</w:t>
      </w:r>
    </w:p>
    <w:p w:rsidR="00145E97" w:rsidRPr="00145E97" w:rsidRDefault="00145E97" w:rsidP="00145E97">
      <w:pPr>
        <w:pStyle w:val="a7"/>
        <w:numPr>
          <w:ilvl w:val="0"/>
          <w:numId w:val="22"/>
        </w:num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научно-техническая среда (Т): в какой степени бизнес зависит от нововведений и изменений; насколько динамичны темпы научно-технического прогресса в отрасли; какова доля функции НИОКР в деятельности предприятия?</w:t>
      </w:r>
    </w:p>
    <w:p w:rsidR="00145E97" w:rsidRPr="00145E97" w:rsidRDefault="00145E97" w:rsidP="00145E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449830" cy="2130425"/>
            <wp:effectExtent l="19050" t="0" r="7620" b="0"/>
            <wp:docPr id="10" name="Рисунок 10" descr="C:\Users\Миловидова Анна\Desktop\СПСАУ\Семинар №9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иловидова Анна\Desktop\СПСАУ\Семинар №9\image0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E97" w:rsidRPr="00145E97" w:rsidRDefault="00145E97" w:rsidP="00145E9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145E97">
        <w:rPr>
          <w:rFonts w:ascii="Times New Roman" w:eastAsia="Times New Roman" w:hAnsi="Times New Roman" w:cs="Times New Roman"/>
          <w:b/>
          <w:color w:val="000000"/>
          <w:lang w:eastAsia="ru-RU"/>
        </w:rPr>
        <w:t>Рис. 1.</w:t>
      </w:r>
      <w:r w:rsidRPr="00145E97">
        <w:rPr>
          <w:rFonts w:ascii="Times New Roman" w:eastAsia="Times New Roman" w:hAnsi="Times New Roman" w:cs="Times New Roman"/>
          <w:color w:val="000000"/>
          <w:lang w:eastAsia="ru-RU"/>
        </w:rPr>
        <w:t xml:space="preserve"> Составляющие PEST-анализа</w:t>
      </w:r>
    </w:p>
    <w:p w:rsidR="004E5B5D" w:rsidRDefault="004E5B5D" w:rsidP="00145E97">
      <w:pPr>
        <w:shd w:val="clear" w:color="auto" w:fill="FFFFFF"/>
        <w:spacing w:after="120" w:line="240" w:lineRule="auto"/>
        <w:rPr>
          <w:rFonts w:eastAsia="Times New Roman" w:cs="Times New Roman"/>
          <w:noProof/>
          <w:color w:val="000000"/>
          <w:lang w:eastAsia="ru-RU"/>
        </w:rPr>
      </w:pPr>
    </w:p>
    <w:p w:rsidR="004E5B5D" w:rsidRDefault="00206C2F" w:rsidP="004E5B5D">
      <w:pPr>
        <w:shd w:val="clear" w:color="auto" w:fill="FFFFFF"/>
        <w:spacing w:after="120" w:line="240" w:lineRule="auto"/>
        <w:jc w:val="center"/>
        <w:rPr>
          <w:rFonts w:eastAsia="Times New Roman" w:cs="Times New Roman"/>
          <w:noProof/>
          <w:color w:val="000000"/>
          <w:lang w:eastAsia="ru-RU"/>
        </w:rPr>
      </w:pPr>
      <w:r>
        <w:rPr>
          <w:rFonts w:eastAsia="Times New Roman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2819939" cy="28264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89" cy="282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B5D" w:rsidRPr="004E5B5D" w:rsidRDefault="004E5B5D" w:rsidP="004E5B5D">
      <w:pPr>
        <w:shd w:val="clear" w:color="auto" w:fill="FFFFFF"/>
        <w:spacing w:after="120" w:line="240" w:lineRule="auto"/>
        <w:jc w:val="center"/>
        <w:rPr>
          <w:rFonts w:eastAsia="Times New Roman" w:cs="Times New Roman"/>
          <w:noProof/>
          <w:color w:val="000000"/>
          <w:lang w:eastAsia="ru-RU"/>
        </w:rPr>
      </w:pPr>
      <w:r w:rsidRPr="004E5B5D">
        <w:rPr>
          <w:rFonts w:eastAsia="Times New Roman" w:cs="Times New Roman"/>
          <w:b/>
          <w:noProof/>
          <w:color w:val="000000"/>
          <w:lang w:eastAsia="ru-RU"/>
        </w:rPr>
        <w:t>Рис. 2.</w:t>
      </w:r>
      <w:r>
        <w:rPr>
          <w:rFonts w:eastAsia="Times New Roman" w:cs="Times New Roman"/>
          <w:noProof/>
          <w:color w:val="000000"/>
          <w:lang w:eastAsia="ru-RU"/>
        </w:rPr>
        <w:t xml:space="preserve"> </w:t>
      </w:r>
      <w:r w:rsidRPr="004E5B5D">
        <w:rPr>
          <w:rFonts w:eastAsia="Times New Roman" w:cs="Times New Roman"/>
          <w:noProof/>
          <w:color w:val="000000"/>
          <w:lang w:eastAsia="ru-RU"/>
        </w:rPr>
        <w:t>Структура факторов внешней среды муниципального образования</w:t>
      </w:r>
    </w:p>
    <w:p w:rsidR="004E5B5D" w:rsidRDefault="00206C2F" w:rsidP="00206C2F">
      <w:pPr>
        <w:shd w:val="clear" w:color="auto" w:fill="FFFFFF"/>
        <w:spacing w:after="120" w:line="240" w:lineRule="auto"/>
        <w:jc w:val="center"/>
        <w:rPr>
          <w:rFonts w:eastAsia="Times New Roman" w:cs="Times New Roman"/>
          <w:noProof/>
          <w:color w:val="000000"/>
          <w:lang w:eastAsia="ru-RU"/>
        </w:rPr>
      </w:pPr>
      <w:r>
        <w:rPr>
          <w:rFonts w:eastAsia="Times New Roman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4779010" cy="6797675"/>
            <wp:effectExtent l="19050" t="0" r="254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679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2F" w:rsidRPr="004E5B5D" w:rsidRDefault="004E5B5D" w:rsidP="00206C2F">
      <w:pPr>
        <w:shd w:val="clear" w:color="auto" w:fill="FFFFFF"/>
        <w:spacing w:after="120" w:line="240" w:lineRule="auto"/>
        <w:jc w:val="center"/>
        <w:rPr>
          <w:rFonts w:eastAsia="Times New Roman" w:cs="Times New Roman"/>
          <w:noProof/>
          <w:color w:val="000000"/>
          <w:lang w:eastAsia="ru-RU"/>
        </w:rPr>
      </w:pPr>
      <w:r w:rsidRPr="004E5B5D">
        <w:rPr>
          <w:rFonts w:eastAsia="Times New Roman" w:cs="Times New Roman"/>
          <w:noProof/>
          <w:color w:val="000000"/>
          <w:lang w:eastAsia="ru-RU"/>
        </w:rPr>
        <w:t>Рис. 6.5.</w:t>
      </w:r>
      <w:r w:rsidR="00206C2F" w:rsidRPr="00206C2F">
        <w:rPr>
          <w:rFonts w:eastAsia="Times New Roman" w:cs="Times New Roman"/>
          <w:noProof/>
          <w:color w:val="000000"/>
          <w:lang w:eastAsia="ru-RU"/>
        </w:rPr>
        <w:t xml:space="preserve"> </w:t>
      </w:r>
      <w:r w:rsidR="00206C2F" w:rsidRPr="004E5B5D">
        <w:rPr>
          <w:rFonts w:eastAsia="Times New Roman" w:cs="Times New Roman"/>
          <w:noProof/>
          <w:color w:val="000000"/>
          <w:lang w:eastAsia="ru-RU"/>
        </w:rPr>
        <w:t>Структура параметров ближней</w:t>
      </w:r>
      <w:r w:rsidR="00206C2F" w:rsidRPr="00206C2F">
        <w:rPr>
          <w:rFonts w:eastAsia="Times New Roman" w:cs="Times New Roman"/>
          <w:noProof/>
          <w:color w:val="000000"/>
          <w:lang w:eastAsia="ru-RU"/>
        </w:rPr>
        <w:t xml:space="preserve"> </w:t>
      </w:r>
      <w:r w:rsidR="00206C2F">
        <w:rPr>
          <w:rFonts w:eastAsia="Times New Roman" w:cs="Times New Roman"/>
          <w:noProof/>
          <w:color w:val="000000"/>
          <w:lang w:eastAsia="ru-RU"/>
        </w:rPr>
        <w:t xml:space="preserve">и </w:t>
      </w:r>
      <w:r w:rsidR="00206C2F" w:rsidRPr="004E5B5D">
        <w:rPr>
          <w:rFonts w:eastAsia="Times New Roman" w:cs="Times New Roman"/>
          <w:noProof/>
          <w:color w:val="000000"/>
          <w:lang w:eastAsia="ru-RU"/>
        </w:rPr>
        <w:t>дальней внешней среды</w:t>
      </w:r>
    </w:p>
    <w:p w:rsidR="00145E97" w:rsidRPr="00145E97" w:rsidRDefault="00145E97" w:rsidP="00145E97">
      <w:p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PEST-анализ можно проводить как на качественном, так и на количественном уровне. Общая схема проведения PEST-анализа представлена ниже.</w:t>
      </w:r>
    </w:p>
    <w:p w:rsidR="00145E97" w:rsidRPr="00145E97" w:rsidRDefault="00145E97" w:rsidP="00145E97">
      <w:pPr>
        <w:pStyle w:val="a7"/>
        <w:numPr>
          <w:ilvl w:val="0"/>
          <w:numId w:val="24"/>
        </w:num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Разрабатывается перечень факторов макроокружения, имеющих высокую вероятность реализации и воздействия.</w:t>
      </w:r>
    </w:p>
    <w:p w:rsidR="00145E97" w:rsidRPr="00145E97" w:rsidRDefault="00145E97" w:rsidP="00145E97">
      <w:pPr>
        <w:pStyle w:val="a7"/>
        <w:numPr>
          <w:ilvl w:val="0"/>
          <w:numId w:val="24"/>
        </w:num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Оценивается значимость каждого события для данного предприятия путем присвоения ему определенного веса.</w:t>
      </w:r>
    </w:p>
    <w:p w:rsidR="00145E97" w:rsidRPr="00145E97" w:rsidRDefault="00145E97" w:rsidP="00145E97">
      <w:pPr>
        <w:pStyle w:val="a7"/>
        <w:numPr>
          <w:ilvl w:val="0"/>
          <w:numId w:val="24"/>
        </w:num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Дается оценка степени влияния (как положительного, так и негативного) каждого фактора на стратегию предприятия.</w:t>
      </w:r>
    </w:p>
    <w:p w:rsidR="00145E97" w:rsidRPr="00145E97" w:rsidRDefault="00145E97" w:rsidP="00145E97">
      <w:pPr>
        <w:pStyle w:val="a7"/>
        <w:numPr>
          <w:ilvl w:val="0"/>
          <w:numId w:val="24"/>
        </w:num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Определяются взвешенные оценки путем умножения веса фактора на силу его воздействия, и подсчитывается суммарная взвешенная оценка для данной компании.</w:t>
      </w:r>
    </w:p>
    <w:p w:rsidR="00145E97" w:rsidRPr="00145E97" w:rsidRDefault="00145E97" w:rsidP="00145E97">
      <w:p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lastRenderedPageBreak/>
        <w:t>Суммарная оценка указывает на степень готовности компании реагировать на текущие и прогнозируемые факторы макроокружения.</w:t>
      </w:r>
    </w:p>
    <w:p w:rsidR="00145E97" w:rsidRPr="00145E97" w:rsidRDefault="00145E97" w:rsidP="00145E97">
      <w:p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При количественном варианте оценки следует учитывать, что:</w:t>
      </w:r>
    </w:p>
    <w:p w:rsidR="00145E97" w:rsidRPr="00145E97" w:rsidRDefault="00145E97" w:rsidP="00145E97">
      <w:pPr>
        <w:pStyle w:val="a7"/>
        <w:numPr>
          <w:ilvl w:val="0"/>
          <w:numId w:val="25"/>
        </w:num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весовой коэффициент должен отражать степень вероятности наступления события;</w:t>
      </w:r>
    </w:p>
    <w:p w:rsidR="00145E97" w:rsidRPr="00145E97" w:rsidRDefault="00145E97" w:rsidP="00145E97">
      <w:pPr>
        <w:pStyle w:val="a7"/>
        <w:numPr>
          <w:ilvl w:val="0"/>
          <w:numId w:val="25"/>
        </w:num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</w:t>
      </w:r>
      <w:r w:rsidRPr="00145E97">
        <w:rPr>
          <w:rFonts w:eastAsia="Times New Roman" w:cs="Times New Roman"/>
          <w:color w:val="000000"/>
          <w:lang w:eastAsia="ru-RU"/>
        </w:rPr>
        <w:t>оличественная оценка влияния фактора должна принимать как отрицательное, так и положительное значение;</w:t>
      </w:r>
    </w:p>
    <w:p w:rsidR="00145E97" w:rsidRPr="00145E97" w:rsidRDefault="00145E97" w:rsidP="00145E97">
      <w:pPr>
        <w:pStyle w:val="a7"/>
        <w:numPr>
          <w:ilvl w:val="0"/>
          <w:numId w:val="25"/>
        </w:num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итоговая оценка дает информацию о том, в какой степени компания зависит от макросреды, однако помимо получения суммарной оценки необходимо проанализировать вклад каждого фактора в получении результирующего значения, а также оценить взаимодействие факторов.</w:t>
      </w:r>
    </w:p>
    <w:p w:rsidR="00145E97" w:rsidRPr="00145E97" w:rsidRDefault="00145E97" w:rsidP="00145E97">
      <w:p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Для простоты и удобства анализа все факторы принято совместно рассматривать в виде четырехпольной таблицы.</w:t>
      </w:r>
    </w:p>
    <w:p w:rsidR="00145E97" w:rsidRPr="00145E97" w:rsidRDefault="00145E97" w:rsidP="00145E97">
      <w:p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Приведем примеры факторов, которые, как правило, рассматриваются в ходе анализа:</w:t>
      </w:r>
    </w:p>
    <w:tbl>
      <w:tblPr>
        <w:tblStyle w:val="a8"/>
        <w:tblW w:w="5000" w:type="pct"/>
        <w:tblLook w:val="04A0"/>
      </w:tblPr>
      <w:tblGrid>
        <w:gridCol w:w="5308"/>
        <w:gridCol w:w="4263"/>
      </w:tblGrid>
      <w:tr w:rsidR="00145E97" w:rsidRPr="00145E97" w:rsidTr="00145E97">
        <w:tc>
          <w:tcPr>
            <w:tcW w:w="5461" w:type="dxa"/>
            <w:vAlign w:val="center"/>
            <w:hideMark/>
          </w:tcPr>
          <w:p w:rsidR="00145E97" w:rsidRPr="00145E97" w:rsidRDefault="00145E97" w:rsidP="00145E97">
            <w:pPr>
              <w:jc w:val="center"/>
              <w:rPr>
                <w:b/>
                <w:bCs/>
              </w:rPr>
            </w:pPr>
            <w:r w:rsidRPr="00145E97">
              <w:rPr>
                <w:b/>
                <w:bCs/>
              </w:rPr>
              <w:t>ПОЛИТИЧЕСКИЕ ФАКТОРЫ</w:t>
            </w:r>
          </w:p>
        </w:tc>
        <w:tc>
          <w:tcPr>
            <w:tcW w:w="0" w:type="auto"/>
            <w:vAlign w:val="center"/>
            <w:hideMark/>
          </w:tcPr>
          <w:p w:rsidR="00145E97" w:rsidRPr="00145E97" w:rsidRDefault="00145E97" w:rsidP="00145E97">
            <w:pPr>
              <w:jc w:val="center"/>
              <w:rPr>
                <w:b/>
                <w:bCs/>
              </w:rPr>
            </w:pPr>
            <w:r w:rsidRPr="00145E97">
              <w:rPr>
                <w:b/>
                <w:bCs/>
              </w:rPr>
              <w:t>ВЛИЯНИЕ ЭКОНОМИКИ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>Текущее законодательство на рынке</w:t>
            </w:r>
          </w:p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>Будущие изменения в законодательстве</w:t>
            </w:r>
          </w:p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>Европейское/международное законодательство</w:t>
            </w:r>
          </w:p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>Регулирующие органы и нормы</w:t>
            </w:r>
          </w:p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>Правительственная политика, изменение</w:t>
            </w:r>
          </w:p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>Государственное регулирование конкуренции</w:t>
            </w:r>
          </w:p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>Торговая политика</w:t>
            </w:r>
          </w:p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 xml:space="preserve">Ужесточение госконтроля за деятельностью </w:t>
            </w:r>
            <w:proofErr w:type="spellStart"/>
            <w:r w:rsidRPr="00145E97">
              <w:t>бизнес-субъектов</w:t>
            </w:r>
            <w:proofErr w:type="spellEnd"/>
            <w:r w:rsidRPr="00145E97">
              <w:t xml:space="preserve"> и штрафные санкции</w:t>
            </w:r>
          </w:p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>Выборы на всех уровнях власти</w:t>
            </w:r>
          </w:p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>Финансирование, гранты и инициативы</w:t>
            </w:r>
          </w:p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>Группы лоббирования/давления рынка</w:t>
            </w:r>
          </w:p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>Международные группы давления</w:t>
            </w:r>
          </w:p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>Экологические проблемы</w:t>
            </w:r>
          </w:p>
          <w:p w:rsidR="00145E97" w:rsidRPr="00145E97" w:rsidRDefault="00145E97" w:rsidP="00145E97">
            <w:pPr>
              <w:numPr>
                <w:ilvl w:val="0"/>
                <w:numId w:val="1"/>
              </w:numPr>
            </w:pPr>
            <w:r w:rsidRPr="00145E97">
              <w:t>Прочее влияние государства в отрасли</w:t>
            </w:r>
          </w:p>
        </w:tc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Экономическая ситуация и тенденции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Динамика ставки рефинансирования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Уровень инфляции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Инвестиционный климат в отрасли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Заграничные экономические системы и тенденции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Общие проблемы налогообложения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Налогообложение, определенное для продукта / услуг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Сезонность / влияние погоды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Рынок и торговые циклы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Платежеспособный спрос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Специфика производства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Товаропроводящие цепи и дистрибуция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Потребности конечного пользователя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Обменные курсы валют</w:t>
            </w:r>
          </w:p>
          <w:p w:rsidR="00145E97" w:rsidRPr="00145E97" w:rsidRDefault="00145E97" w:rsidP="00145E97">
            <w:pPr>
              <w:numPr>
                <w:ilvl w:val="0"/>
                <w:numId w:val="2"/>
              </w:numPr>
            </w:pPr>
            <w:r w:rsidRPr="00145E97">
              <w:t>Основные внешние издержки</w:t>
            </w:r>
          </w:p>
          <w:p w:rsidR="00145E97" w:rsidRPr="00145E97" w:rsidRDefault="00145E97" w:rsidP="00145E97">
            <w:pPr>
              <w:numPr>
                <w:ilvl w:val="1"/>
                <w:numId w:val="2"/>
              </w:numPr>
            </w:pPr>
            <w:r w:rsidRPr="00145E97">
              <w:t>Энергоносители</w:t>
            </w:r>
          </w:p>
          <w:p w:rsidR="00145E97" w:rsidRPr="00145E97" w:rsidRDefault="00145E97" w:rsidP="00145E97">
            <w:pPr>
              <w:numPr>
                <w:ilvl w:val="1"/>
                <w:numId w:val="2"/>
              </w:numPr>
            </w:pPr>
            <w:r w:rsidRPr="00145E97">
              <w:t>Транспорт</w:t>
            </w:r>
          </w:p>
          <w:p w:rsidR="00145E97" w:rsidRPr="00145E97" w:rsidRDefault="00145E97" w:rsidP="00145E97">
            <w:pPr>
              <w:numPr>
                <w:ilvl w:val="1"/>
                <w:numId w:val="2"/>
              </w:numPr>
            </w:pPr>
            <w:r w:rsidRPr="00145E97">
              <w:t>Сырье и комплектующие</w:t>
            </w:r>
          </w:p>
          <w:p w:rsidR="00145E97" w:rsidRPr="00145E97" w:rsidRDefault="00145E97" w:rsidP="00145E97">
            <w:pPr>
              <w:numPr>
                <w:ilvl w:val="1"/>
                <w:numId w:val="2"/>
              </w:numPr>
            </w:pPr>
            <w:r w:rsidRPr="00145E97">
              <w:t>Коммуникации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rPr>
                <w:b/>
                <w:bCs/>
              </w:rPr>
            </w:pPr>
            <w:r w:rsidRPr="00145E97">
              <w:rPr>
                <w:b/>
                <w:bCs/>
              </w:rPr>
              <w:t>СОЦИОКУЛЬТУРНЫЕ ТЕНДЕНЦИИ</w:t>
            </w:r>
          </w:p>
        </w:tc>
        <w:tc>
          <w:tcPr>
            <w:tcW w:w="0" w:type="auto"/>
            <w:hideMark/>
          </w:tcPr>
          <w:p w:rsidR="00145E97" w:rsidRPr="00145E97" w:rsidRDefault="00145E97" w:rsidP="00145E97">
            <w:pPr>
              <w:rPr>
                <w:b/>
                <w:bCs/>
              </w:rPr>
            </w:pPr>
            <w:r w:rsidRPr="00145E97">
              <w:rPr>
                <w:b/>
                <w:bCs/>
              </w:rPr>
              <w:t>ТЕХНОЛОГИЧЕСКИЕ ИННОВАЦИИ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Демография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Изменения законодательства, затрагивающие социальные факторы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Структура доходов и расходов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Базовые ценности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Тенденции образа жизни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Бренд, репутация компании, имидж используемой технологии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Модели поведения покупателей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Мода и образцы для подражания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lastRenderedPageBreak/>
              <w:t>Главные события и факторы влияния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Мнения и отношение потребителей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Потребительские предпочтения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Представления СМИ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Точки контакта покупателей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Этнические / религиозные факторы</w:t>
            </w:r>
          </w:p>
          <w:p w:rsidR="00145E97" w:rsidRPr="00145E97" w:rsidRDefault="00145E97" w:rsidP="00145E97">
            <w:pPr>
              <w:numPr>
                <w:ilvl w:val="0"/>
                <w:numId w:val="3"/>
              </w:numPr>
            </w:pPr>
            <w:r w:rsidRPr="00145E97">
              <w:t>Реклама и связи с общественностью</w:t>
            </w:r>
          </w:p>
        </w:tc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4"/>
              </w:numPr>
            </w:pPr>
            <w:r w:rsidRPr="00145E97">
              <w:lastRenderedPageBreak/>
              <w:t>Развитие конкурентных технологий</w:t>
            </w:r>
          </w:p>
          <w:p w:rsidR="00145E97" w:rsidRPr="00145E97" w:rsidRDefault="00145E97" w:rsidP="00145E97">
            <w:pPr>
              <w:numPr>
                <w:ilvl w:val="0"/>
                <w:numId w:val="4"/>
              </w:numPr>
            </w:pPr>
            <w:r w:rsidRPr="00145E97">
              <w:t>Финансирование исследований</w:t>
            </w:r>
          </w:p>
          <w:p w:rsidR="00145E97" w:rsidRPr="00145E97" w:rsidRDefault="00145E97" w:rsidP="00145E97">
            <w:pPr>
              <w:numPr>
                <w:ilvl w:val="0"/>
                <w:numId w:val="4"/>
              </w:numPr>
            </w:pPr>
            <w:r w:rsidRPr="00145E97">
              <w:t>Связанные / зависимые технологии</w:t>
            </w:r>
          </w:p>
          <w:p w:rsidR="00145E97" w:rsidRPr="00145E97" w:rsidRDefault="00145E97" w:rsidP="00145E97">
            <w:pPr>
              <w:numPr>
                <w:ilvl w:val="0"/>
                <w:numId w:val="4"/>
              </w:numPr>
            </w:pPr>
            <w:r w:rsidRPr="00145E97">
              <w:t>Замещающие технологии/решения</w:t>
            </w:r>
          </w:p>
          <w:p w:rsidR="00145E97" w:rsidRPr="00145E97" w:rsidRDefault="00145E97" w:rsidP="00145E97">
            <w:pPr>
              <w:numPr>
                <w:ilvl w:val="0"/>
                <w:numId w:val="4"/>
              </w:numPr>
            </w:pPr>
            <w:r w:rsidRPr="00145E97">
              <w:t>Зрелость технологий</w:t>
            </w:r>
          </w:p>
          <w:p w:rsidR="00145E97" w:rsidRPr="00145E97" w:rsidRDefault="00145E97" w:rsidP="00145E97">
            <w:pPr>
              <w:numPr>
                <w:ilvl w:val="0"/>
                <w:numId w:val="4"/>
              </w:numPr>
            </w:pPr>
            <w:r w:rsidRPr="00145E97">
              <w:t>Изменение и адаптация новых технологий</w:t>
            </w:r>
          </w:p>
          <w:p w:rsidR="00145E97" w:rsidRPr="00145E97" w:rsidRDefault="00145E97" w:rsidP="00145E97">
            <w:pPr>
              <w:numPr>
                <w:ilvl w:val="0"/>
                <w:numId w:val="4"/>
              </w:numPr>
            </w:pPr>
            <w:r w:rsidRPr="00145E97">
              <w:t xml:space="preserve">Производственная емкость, </w:t>
            </w:r>
            <w:r w:rsidRPr="00145E97">
              <w:lastRenderedPageBreak/>
              <w:t>уровень</w:t>
            </w:r>
          </w:p>
          <w:p w:rsidR="00145E97" w:rsidRPr="00145E97" w:rsidRDefault="00145E97" w:rsidP="00145E97">
            <w:pPr>
              <w:numPr>
                <w:ilvl w:val="0"/>
                <w:numId w:val="4"/>
              </w:numPr>
            </w:pPr>
            <w:r w:rsidRPr="00145E97">
              <w:t>Информация и коммуникации, влияние интернета</w:t>
            </w:r>
          </w:p>
          <w:p w:rsidR="00145E97" w:rsidRPr="00145E97" w:rsidRDefault="00145E97" w:rsidP="00145E97">
            <w:pPr>
              <w:numPr>
                <w:ilvl w:val="0"/>
                <w:numId w:val="4"/>
              </w:numPr>
            </w:pPr>
            <w:r w:rsidRPr="00145E97">
              <w:t>Потребители, покупающие технологии</w:t>
            </w:r>
          </w:p>
          <w:p w:rsidR="00145E97" w:rsidRPr="00145E97" w:rsidRDefault="00145E97" w:rsidP="00145E97">
            <w:pPr>
              <w:numPr>
                <w:ilvl w:val="0"/>
                <w:numId w:val="4"/>
              </w:numPr>
            </w:pPr>
            <w:r w:rsidRPr="00145E97">
              <w:t>Законодательство по технологиям</w:t>
            </w:r>
          </w:p>
          <w:p w:rsidR="00145E97" w:rsidRPr="00145E97" w:rsidRDefault="00145E97" w:rsidP="00145E97">
            <w:pPr>
              <w:numPr>
                <w:ilvl w:val="0"/>
                <w:numId w:val="4"/>
              </w:numPr>
            </w:pPr>
            <w:r w:rsidRPr="00145E97">
              <w:t>Потенциал инноваций</w:t>
            </w:r>
          </w:p>
          <w:p w:rsidR="00145E97" w:rsidRPr="00145E97" w:rsidRDefault="00145E97" w:rsidP="00145E97">
            <w:pPr>
              <w:numPr>
                <w:ilvl w:val="0"/>
                <w:numId w:val="4"/>
              </w:numPr>
            </w:pPr>
            <w:r w:rsidRPr="00145E97">
              <w:t>Доступ к технологиям, лицензирование, патенты</w:t>
            </w:r>
          </w:p>
          <w:p w:rsidR="00145E97" w:rsidRPr="00145E97" w:rsidRDefault="00145E97" w:rsidP="00145E97">
            <w:pPr>
              <w:numPr>
                <w:ilvl w:val="0"/>
                <w:numId w:val="4"/>
              </w:numPr>
            </w:pPr>
            <w:r w:rsidRPr="00145E97">
              <w:t>Проблемы интеллектуальной собственности</w:t>
            </w:r>
          </w:p>
        </w:tc>
      </w:tr>
    </w:tbl>
    <w:p w:rsidR="00145E97" w:rsidRPr="00145E97" w:rsidRDefault="00145E97" w:rsidP="00145E97">
      <w:p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lastRenderedPageBreak/>
        <w:t xml:space="preserve">На практике </w:t>
      </w:r>
      <w:proofErr w:type="spellStart"/>
      <w:r w:rsidRPr="00145E97">
        <w:rPr>
          <w:rFonts w:eastAsia="Times New Roman" w:cs="Times New Roman"/>
          <w:color w:val="000000"/>
          <w:lang w:eastAsia="ru-RU"/>
        </w:rPr>
        <w:t>ПЭСТ-анализ</w:t>
      </w:r>
      <w:proofErr w:type="spellEnd"/>
      <w:r w:rsidRPr="00145E97">
        <w:rPr>
          <w:rFonts w:eastAsia="Times New Roman" w:cs="Times New Roman"/>
          <w:color w:val="000000"/>
          <w:lang w:eastAsia="ru-RU"/>
        </w:rPr>
        <w:t xml:space="preserve"> удобно применять при разработке плана маркетинга или бизнес плана в качестве инструмента макроэкономического анализа окружающей среды компании и доступных ресурсов. На основе полученной информации о рынке формируются комплекс целей и стратегия компании.</w:t>
      </w:r>
    </w:p>
    <w:p w:rsidR="00145E97" w:rsidRPr="00145E97" w:rsidRDefault="00145E97" w:rsidP="00145E97">
      <w:r>
        <w:rPr>
          <w:b/>
          <w:bCs/>
        </w:rPr>
        <w:t xml:space="preserve">Пример </w:t>
      </w:r>
      <w:r w:rsidRPr="00145E97">
        <w:rPr>
          <w:rFonts w:eastAsia="Times New Roman" w:cs="Times New Roman"/>
          <w:color w:val="000000"/>
          <w:lang w:eastAsia="ru-RU"/>
        </w:rPr>
        <w:t>PEST-анализ</w:t>
      </w:r>
      <w:r>
        <w:rPr>
          <w:rFonts w:eastAsia="Times New Roman" w:cs="Times New Roman"/>
          <w:color w:val="000000"/>
          <w:lang w:eastAsia="ru-RU"/>
        </w:rPr>
        <w:t>а</w:t>
      </w:r>
    </w:p>
    <w:p w:rsidR="00145E97" w:rsidRPr="00145E97" w:rsidRDefault="00145E97" w:rsidP="00145E97">
      <w:p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Данный PEST-анализ был разработан в 2006 году для крупной страховой компании, изучавшей возможность выхода на рынок СЗФО. По понятным причинам глобальный кризис 2008 года в этом анализе не учитывался, но пессимистичный сценарий отчасти предусматривает неблагоприятный прогноз.</w:t>
      </w:r>
    </w:p>
    <w:p w:rsidR="00145E97" w:rsidRPr="00145E97" w:rsidRDefault="00145E97" w:rsidP="00145E97">
      <w:pPr>
        <w:shd w:val="clear" w:color="auto" w:fill="FFFFFF"/>
        <w:spacing w:after="120" w:line="240" w:lineRule="auto"/>
        <w:rPr>
          <w:rFonts w:eastAsia="Times New Roman" w:cs="Times New Roman"/>
          <w:color w:val="000000"/>
          <w:lang w:eastAsia="ru-RU"/>
        </w:rPr>
      </w:pPr>
      <w:r w:rsidRPr="00145E97">
        <w:rPr>
          <w:rFonts w:eastAsia="Times New Roman" w:cs="Times New Roman"/>
          <w:color w:val="000000"/>
          <w:lang w:eastAsia="ru-RU"/>
        </w:rPr>
        <w:t>Приводится с сокращениями, необходимыми по условиям конфиденциальности. </w:t>
      </w:r>
    </w:p>
    <w:tbl>
      <w:tblPr>
        <w:tblStyle w:val="a8"/>
        <w:tblW w:w="5000" w:type="pct"/>
        <w:tblLook w:val="04A0"/>
      </w:tblPr>
      <w:tblGrid>
        <w:gridCol w:w="4425"/>
        <w:gridCol w:w="1578"/>
        <w:gridCol w:w="1749"/>
        <w:gridCol w:w="1819"/>
      </w:tblGrid>
      <w:tr w:rsidR="00145E97" w:rsidRPr="00145E97" w:rsidTr="00145E97">
        <w:trPr>
          <w:tblHeader/>
        </w:trPr>
        <w:tc>
          <w:tcPr>
            <w:tcW w:w="4634" w:type="dxa"/>
            <w:shd w:val="clear" w:color="auto" w:fill="D9D9D9" w:themeFill="background1" w:themeFillShade="D9"/>
            <w:vAlign w:val="center"/>
            <w:hideMark/>
          </w:tcPr>
          <w:p w:rsidR="00145E97" w:rsidRPr="00145E97" w:rsidRDefault="00145E97" w:rsidP="00145E97">
            <w:pPr>
              <w:jc w:val="center"/>
              <w:rPr>
                <w:b/>
                <w:i/>
              </w:rPr>
            </w:pPr>
            <w:r w:rsidRPr="00145E97">
              <w:rPr>
                <w:b/>
                <w:i/>
              </w:rPr>
              <w:t>.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  <w:hideMark/>
          </w:tcPr>
          <w:p w:rsidR="00145E97" w:rsidRPr="00145E97" w:rsidRDefault="00145E97" w:rsidP="00145E97">
            <w:pPr>
              <w:jc w:val="center"/>
              <w:rPr>
                <w:b/>
                <w:i/>
              </w:rPr>
            </w:pPr>
            <w:r w:rsidRPr="00145E97">
              <w:rPr>
                <w:b/>
                <w:bCs/>
                <w:i/>
              </w:rPr>
              <w:t>Вероятность</w:t>
            </w:r>
          </w:p>
        </w:tc>
        <w:tc>
          <w:tcPr>
            <w:tcW w:w="1727" w:type="dxa"/>
            <w:shd w:val="clear" w:color="auto" w:fill="D9D9D9" w:themeFill="background1" w:themeFillShade="D9"/>
            <w:vAlign w:val="center"/>
            <w:hideMark/>
          </w:tcPr>
          <w:p w:rsidR="00145E97" w:rsidRPr="00145E97" w:rsidRDefault="00145E97" w:rsidP="00145E97">
            <w:pPr>
              <w:jc w:val="center"/>
              <w:rPr>
                <w:b/>
                <w:i/>
              </w:rPr>
            </w:pPr>
            <w:r w:rsidRPr="00145E97">
              <w:rPr>
                <w:b/>
                <w:bCs/>
                <w:i/>
              </w:rPr>
              <w:t>Влияние</w:t>
            </w:r>
          </w:p>
        </w:tc>
        <w:tc>
          <w:tcPr>
            <w:tcW w:w="1798" w:type="dxa"/>
            <w:shd w:val="clear" w:color="auto" w:fill="D9D9D9" w:themeFill="background1" w:themeFillShade="D9"/>
            <w:vAlign w:val="center"/>
            <w:hideMark/>
          </w:tcPr>
          <w:p w:rsidR="00145E97" w:rsidRPr="00145E97" w:rsidRDefault="00145E97" w:rsidP="00145E97">
            <w:pPr>
              <w:jc w:val="center"/>
              <w:rPr>
                <w:b/>
                <w:i/>
              </w:rPr>
            </w:pPr>
            <w:r w:rsidRPr="00145E97">
              <w:rPr>
                <w:b/>
                <w:bCs/>
                <w:i/>
              </w:rPr>
              <w:t>Ответная реакция</w:t>
            </w:r>
          </w:p>
        </w:tc>
      </w:tr>
      <w:tr w:rsidR="00145E97" w:rsidRPr="00145E97" w:rsidTr="00145E97">
        <w:tc>
          <w:tcPr>
            <w:tcW w:w="0" w:type="auto"/>
            <w:gridSpan w:val="4"/>
            <w:hideMark/>
          </w:tcPr>
          <w:p w:rsidR="00145E97" w:rsidRPr="00145E97" w:rsidRDefault="00145E97" w:rsidP="00145E97">
            <w:pPr>
              <w:jc w:val="center"/>
            </w:pPr>
            <w:r w:rsidRPr="00145E97">
              <w:rPr>
                <w:b/>
                <w:bCs/>
              </w:rPr>
              <w:t>П О Л И Т И К А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6"/>
              </w:numPr>
            </w:pPr>
            <w:r w:rsidRPr="00145E97">
              <w:rPr>
                <w:u w:val="single"/>
              </w:rPr>
              <w:t>Вступление в ВТО</w:t>
            </w:r>
            <w:r w:rsidRPr="00145E97">
              <w:t>: захват рынка западными компаниями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Высокая, </w:t>
            </w:r>
            <w:r w:rsidRPr="00145E97">
              <w:br/>
              <w:t>1-2 года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Угроза захвата рынка иностранными компаниями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Опередить возможных конкурентов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1"/>
                <w:numId w:val="7"/>
              </w:numPr>
            </w:pPr>
            <w:r w:rsidRPr="00145E97">
              <w:t>Крупные корпорации будут активно скупать местные компании.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Высокая, </w:t>
            </w:r>
            <w:r w:rsidRPr="00145E97">
              <w:br/>
              <w:t>2-3 года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Угроза захвата рынка иностранными компаниями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Опередить, но в случае необходимости - предложить сотрудничество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8"/>
              </w:numPr>
            </w:pPr>
            <w:r w:rsidRPr="00145E97">
              <w:rPr>
                <w:u w:val="single"/>
              </w:rPr>
              <w:t>Государственное регулирование</w:t>
            </w:r>
            <w:r w:rsidRPr="00145E97">
              <w:t>: выдавливание серых схем, главный критерий вхождения в большой страховой бизнес - достаточность капитала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Высокая, </w:t>
            </w:r>
            <w:r w:rsidRPr="00145E97">
              <w:br/>
              <w:t>2-3 года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Оздоровление рынка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Благоприятная возможность для большой компании для  выхода на новые рынки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9"/>
              </w:numPr>
            </w:pPr>
            <w:r w:rsidRPr="00145E97">
              <w:rPr>
                <w:u w:val="single"/>
              </w:rPr>
              <w:t>Обязательное страхование</w:t>
            </w:r>
            <w:r w:rsidRPr="00145E97">
              <w:t>:</w:t>
            </w:r>
          </w:p>
          <w:p w:rsidR="00145E97" w:rsidRPr="00145E97" w:rsidRDefault="00145E97" w:rsidP="00145E97">
            <w:pPr>
              <w:numPr>
                <w:ilvl w:val="1"/>
                <w:numId w:val="9"/>
              </w:numPr>
            </w:pPr>
            <w:r w:rsidRPr="00145E97">
              <w:t>Упорядочивание введения новых видов</w:t>
            </w:r>
          </w:p>
          <w:p w:rsidR="00145E97" w:rsidRPr="00145E97" w:rsidRDefault="00145E97" w:rsidP="00145E97">
            <w:pPr>
              <w:numPr>
                <w:ilvl w:val="1"/>
                <w:numId w:val="9"/>
              </w:numPr>
            </w:pPr>
            <w:r w:rsidRPr="00145E97">
              <w:t>Расширение перечня</w:t>
            </w:r>
          </w:p>
          <w:p w:rsidR="00145E97" w:rsidRPr="00145E97" w:rsidRDefault="00145E97" w:rsidP="00145E97">
            <w:pPr>
              <w:numPr>
                <w:ilvl w:val="1"/>
                <w:numId w:val="9"/>
              </w:numPr>
            </w:pPr>
            <w:r w:rsidRPr="00145E97">
              <w:t>Реформа ОМС</w:t>
            </w:r>
          </w:p>
          <w:p w:rsidR="00145E97" w:rsidRPr="00145E97" w:rsidRDefault="00145E97" w:rsidP="00145E97">
            <w:pPr>
              <w:numPr>
                <w:ilvl w:val="1"/>
                <w:numId w:val="9"/>
              </w:numPr>
            </w:pPr>
            <w:r w:rsidRPr="00145E97">
              <w:t>Ограничение допуска иностранных компаний на ближайшие 5 лет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Высокая, </w:t>
            </w:r>
            <w:r w:rsidRPr="00145E97">
              <w:br/>
              <w:t>1-3 года</w:t>
            </w:r>
          </w:p>
        </w:tc>
        <w:tc>
          <w:tcPr>
            <w:tcW w:w="0" w:type="auto"/>
            <w:hideMark/>
          </w:tcPr>
          <w:p w:rsidR="00145E97" w:rsidRPr="00145E97" w:rsidRDefault="00145E97" w:rsidP="00145E97">
            <w:r w:rsidRPr="00145E97">
              <w:t>- Существенный рост рынка ОС на несколько миллиардов долларов</w:t>
            </w:r>
          </w:p>
          <w:p w:rsidR="00E12A9D" w:rsidRPr="00145E97" w:rsidRDefault="00145E97" w:rsidP="00145E97">
            <w:r w:rsidRPr="00145E97">
              <w:t>- Защита от иностранных компаний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Благоприятная возможность - выход на рынок и захват доли рынка</w:t>
            </w:r>
          </w:p>
        </w:tc>
      </w:tr>
      <w:tr w:rsidR="00145E97" w:rsidRPr="00145E97" w:rsidTr="00145E97">
        <w:tc>
          <w:tcPr>
            <w:tcW w:w="0" w:type="auto"/>
            <w:gridSpan w:val="4"/>
            <w:hideMark/>
          </w:tcPr>
          <w:p w:rsidR="00145E97" w:rsidRPr="00145E97" w:rsidRDefault="00145E97" w:rsidP="00145E97">
            <w:pPr>
              <w:jc w:val="center"/>
            </w:pPr>
            <w:r w:rsidRPr="00145E97">
              <w:rPr>
                <w:b/>
                <w:bCs/>
              </w:rPr>
              <w:t>Э К О Н О М И К А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10"/>
              </w:numPr>
            </w:pPr>
            <w:r w:rsidRPr="00145E97">
              <w:t xml:space="preserve">Северо-Западный федеральный округ сохраняет лидирующие позиции на страховом рынке </w:t>
            </w:r>
            <w:r w:rsidRPr="00145E97">
              <w:lastRenderedPageBreak/>
              <w:t>России. При этом самый привлекательный сегмент - Санкт-Петербург и Ленинградская область. Учитывая выгодное приграничное положение, регион будет активно экономически развиваться в обозримой долгосрочной перспективе.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lastRenderedPageBreak/>
              <w:t>Высокая, </w:t>
            </w:r>
            <w:r w:rsidRPr="00145E97">
              <w:br/>
              <w:t>5-10 лет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 xml:space="preserve">Высокая экономическая активность </w:t>
            </w:r>
            <w:r w:rsidRPr="00145E97">
              <w:lastRenderedPageBreak/>
              <w:t>способствует развитию страхования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lastRenderedPageBreak/>
              <w:t>Благоприятная возможность для развития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11"/>
              </w:numPr>
            </w:pPr>
            <w:r w:rsidRPr="00145E97">
              <w:lastRenderedPageBreak/>
              <w:t>В 2004 г. из $16,4 млрд. официальных премий реальное конкурентное страхование, по оценке исследователей, составило только $4,5 млрд. Тем не менее, эта доля постоянно растет. По оценке исследователей, рост доли реального страхования в официальных сборах продолжится, и к 2010 г. она может достичь 45-60%.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Высокая, </w:t>
            </w:r>
            <w:r w:rsidRPr="00145E97">
              <w:br/>
              <w:t>5-10 лет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Рост конкурентной составляющей дает реальные возможности для развития компании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Благоприятная возможность для развития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12"/>
              </w:numPr>
            </w:pPr>
            <w:r w:rsidRPr="00145E97">
              <w:t>Эксперты ожидают</w:t>
            </w:r>
            <w:r w:rsidRPr="00145E97">
              <w:rPr>
                <w:u w:val="single"/>
              </w:rPr>
              <w:t> резкий рост розничного страхования</w:t>
            </w:r>
          </w:p>
          <w:p w:rsidR="00145E97" w:rsidRPr="00145E97" w:rsidRDefault="00145E97" w:rsidP="00145E97">
            <w:pPr>
              <w:numPr>
                <w:ilvl w:val="1"/>
                <w:numId w:val="12"/>
              </w:numPr>
            </w:pPr>
            <w:r w:rsidRPr="00145E97">
              <w:t>Имущество</w:t>
            </w:r>
          </w:p>
          <w:p w:rsidR="00145E97" w:rsidRPr="00145E97" w:rsidRDefault="00145E97" w:rsidP="00145E97">
            <w:pPr>
              <w:numPr>
                <w:ilvl w:val="1"/>
                <w:numId w:val="12"/>
              </w:numPr>
            </w:pPr>
            <w:r w:rsidRPr="00145E97">
              <w:t>Квартиры</w:t>
            </w:r>
          </w:p>
          <w:p w:rsidR="00145E97" w:rsidRPr="00145E97" w:rsidRDefault="00145E97" w:rsidP="00145E97">
            <w:pPr>
              <w:numPr>
                <w:ilvl w:val="1"/>
                <w:numId w:val="12"/>
              </w:numPr>
            </w:pPr>
            <w:r w:rsidRPr="00145E97">
              <w:t>Дачи</w:t>
            </w:r>
          </w:p>
          <w:p w:rsidR="00145E97" w:rsidRPr="00145E97" w:rsidRDefault="00145E97" w:rsidP="00145E97">
            <w:pPr>
              <w:numPr>
                <w:ilvl w:val="1"/>
                <w:numId w:val="12"/>
              </w:numPr>
            </w:pPr>
            <w:r w:rsidRPr="00145E97">
              <w:t>Дома и т.д.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Высокая, </w:t>
            </w:r>
            <w:r w:rsidRPr="00145E97">
              <w:br/>
              <w:t>2-5 лет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Рост в несколько раз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Благоприятная возможность - выход на рынок и захват доли рынка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13"/>
              </w:numPr>
            </w:pPr>
            <w:r w:rsidRPr="00145E97">
              <w:rPr>
                <w:u w:val="single"/>
              </w:rPr>
              <w:t>ОСАГО</w:t>
            </w:r>
            <w:r w:rsidRPr="00145E97">
              <w:t> - рынок насыщен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Высокая, </w:t>
            </w:r>
            <w:r w:rsidRPr="00145E97">
              <w:br/>
              <w:t>1-2 года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грядет передел рынка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Мало перспектив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14"/>
              </w:numPr>
            </w:pPr>
            <w:r w:rsidRPr="00145E97">
              <w:rPr>
                <w:u w:val="single"/>
              </w:rPr>
              <w:t>Рентабельность</w:t>
            </w:r>
            <w:r w:rsidRPr="00145E97">
              <w:t> падает. Рост рынка демонстрирует замедление второй год подряд. Выживать будут активно развивающиеся большие компании.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Высокая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Мировая тенденция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Для выживания нужен экспансивный рост</w:t>
            </w:r>
          </w:p>
        </w:tc>
      </w:tr>
      <w:tr w:rsidR="00145E97" w:rsidRPr="00145E97" w:rsidTr="00145E97">
        <w:tc>
          <w:tcPr>
            <w:tcW w:w="0" w:type="auto"/>
            <w:gridSpan w:val="4"/>
            <w:hideMark/>
          </w:tcPr>
          <w:p w:rsidR="00145E97" w:rsidRPr="00145E97" w:rsidRDefault="00145E97" w:rsidP="00145E97">
            <w:pPr>
              <w:jc w:val="center"/>
            </w:pPr>
            <w:r w:rsidRPr="00145E97">
              <w:rPr>
                <w:b/>
                <w:bCs/>
              </w:rPr>
              <w:t>СОЦИОКУЛЬТУРНЫЕ ФАКТОРЫ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15"/>
              </w:numPr>
            </w:pPr>
            <w:r w:rsidRPr="00145E97">
              <w:t>Рост культуры страхования приводит к </w:t>
            </w:r>
            <w:r w:rsidRPr="00145E97">
              <w:rPr>
                <w:u w:val="single"/>
              </w:rPr>
              <w:t>страхованию жизни </w:t>
            </w:r>
            <w:r w:rsidRPr="00145E97">
              <w:t>Прирост премий по классическому страхованию жизни в 2005 году, составил примерно 30-35% и будет расти далее.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proofErr w:type="spellStart"/>
            <w:r w:rsidRPr="00145E97">
              <w:t>Средне-высокая</w:t>
            </w:r>
            <w:proofErr w:type="spellEnd"/>
            <w:r w:rsidRPr="00145E97">
              <w:br/>
              <w:t>5-10 лет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Быстро развивается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Разные формы страхования жизни будут привлекательны в долгосрочной перспективе.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16"/>
              </w:numPr>
            </w:pPr>
            <w:r w:rsidRPr="00145E97">
              <w:t>Растут денежные доходы, что обусловлено как ростом цен на нефть, так и ростом реального сектора экономики. Особенно важно, что растет доля «среднего класса».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proofErr w:type="spellStart"/>
            <w:r w:rsidRPr="00145E97">
              <w:t>Средне-высокая</w:t>
            </w:r>
            <w:proofErr w:type="spellEnd"/>
            <w:r w:rsidRPr="00145E97">
              <w:br/>
              <w:t>5-10 лет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Рост интереса к добровольному страхованию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Благоприятная возможность для развития розничного страхования.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17"/>
              </w:numPr>
            </w:pPr>
            <w:r w:rsidRPr="00145E97">
              <w:t>Растет доля доходов от собственности.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proofErr w:type="spellStart"/>
            <w:r w:rsidRPr="00145E97">
              <w:t>Средне-высокая</w:t>
            </w:r>
            <w:proofErr w:type="spellEnd"/>
            <w:r w:rsidRPr="00145E97">
              <w:br/>
              <w:t>5-10 лет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Рост интереса к добровольному страхованию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Благоприятная возможность для развития розничного имущественного страхования.</w:t>
            </w:r>
          </w:p>
        </w:tc>
      </w:tr>
      <w:tr w:rsidR="00145E97" w:rsidRPr="00145E97" w:rsidTr="00145E97">
        <w:tc>
          <w:tcPr>
            <w:tcW w:w="0" w:type="auto"/>
            <w:gridSpan w:val="4"/>
            <w:hideMark/>
          </w:tcPr>
          <w:p w:rsidR="00145E97" w:rsidRPr="00145E97" w:rsidRDefault="00145E97" w:rsidP="00145E97">
            <w:pPr>
              <w:jc w:val="center"/>
            </w:pPr>
            <w:r w:rsidRPr="00145E97">
              <w:rPr>
                <w:b/>
                <w:bCs/>
              </w:rPr>
              <w:t xml:space="preserve">Т Е Х Н О Л О Г И </w:t>
            </w:r>
            <w:proofErr w:type="spellStart"/>
            <w:r w:rsidRPr="00145E97">
              <w:rPr>
                <w:b/>
                <w:bCs/>
              </w:rPr>
              <w:t>И</w:t>
            </w:r>
            <w:proofErr w:type="spellEnd"/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18"/>
              </w:numPr>
            </w:pPr>
            <w:r w:rsidRPr="00145E97">
              <w:lastRenderedPageBreak/>
              <w:t>IT технологии способствуют снижению общих объемов выплат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proofErr w:type="spellStart"/>
            <w:r w:rsidRPr="00145E97">
              <w:t>Средне-высокая</w:t>
            </w:r>
            <w:proofErr w:type="spellEnd"/>
            <w:r w:rsidRPr="00145E97">
              <w:br/>
              <w:t>5-10 лет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Снижение цен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Благоприятная возможность для развития розничного страхования.</w:t>
            </w:r>
          </w:p>
        </w:tc>
      </w:tr>
      <w:tr w:rsidR="00145E97" w:rsidRPr="00145E97" w:rsidTr="00145E97">
        <w:tc>
          <w:tcPr>
            <w:tcW w:w="0" w:type="auto"/>
            <w:hideMark/>
          </w:tcPr>
          <w:p w:rsidR="00145E97" w:rsidRPr="00145E97" w:rsidRDefault="00145E97" w:rsidP="00145E97">
            <w:pPr>
              <w:numPr>
                <w:ilvl w:val="0"/>
                <w:numId w:val="19"/>
              </w:numPr>
            </w:pPr>
            <w:r w:rsidRPr="00145E97">
              <w:t xml:space="preserve">Интернет позволяет повышать продажи путем информирования, </w:t>
            </w:r>
            <w:proofErr w:type="spellStart"/>
            <w:r w:rsidRPr="00145E97">
              <w:t>он-лайн</w:t>
            </w:r>
            <w:proofErr w:type="spellEnd"/>
            <w:r w:rsidRPr="00145E97">
              <w:t xml:space="preserve"> продаж и т.д.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proofErr w:type="spellStart"/>
            <w:r w:rsidRPr="00145E97">
              <w:t>Средне-высокая</w:t>
            </w:r>
            <w:proofErr w:type="spellEnd"/>
            <w:r w:rsidRPr="00145E97">
              <w:br/>
              <w:t>5-10 лет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Расширение клиентской базы</w:t>
            </w:r>
          </w:p>
        </w:tc>
        <w:tc>
          <w:tcPr>
            <w:tcW w:w="0" w:type="auto"/>
            <w:hideMark/>
          </w:tcPr>
          <w:p w:rsidR="00E12A9D" w:rsidRPr="00145E97" w:rsidRDefault="00145E97" w:rsidP="00145E97">
            <w:r w:rsidRPr="00145E97">
              <w:t>Благоприятная возможность для развития розничного имущественного страхования.</w:t>
            </w:r>
          </w:p>
        </w:tc>
      </w:tr>
    </w:tbl>
    <w:p w:rsidR="00145E97" w:rsidRPr="00145E97" w:rsidRDefault="00145E97" w:rsidP="00145E97">
      <w:pPr>
        <w:rPr>
          <w:b/>
          <w:bCs/>
        </w:rPr>
      </w:pPr>
      <w:r>
        <w:rPr>
          <w:b/>
          <w:bCs/>
        </w:rPr>
        <w:t>Выводы</w:t>
      </w:r>
    </w:p>
    <w:p w:rsidR="00145E97" w:rsidRPr="00145E97" w:rsidRDefault="00145E97" w:rsidP="00145E97">
      <w:pPr>
        <w:numPr>
          <w:ilvl w:val="0"/>
          <w:numId w:val="20"/>
        </w:numPr>
        <w:spacing w:after="120" w:line="240" w:lineRule="auto"/>
      </w:pPr>
      <w:r w:rsidRPr="00145E97">
        <w:t>Выбор Северо-Западного округа обусловлен следующими соображениями:</w:t>
      </w:r>
    </w:p>
    <w:p w:rsidR="00145E97" w:rsidRPr="00145E97" w:rsidRDefault="00145E97" w:rsidP="00145E97">
      <w:pPr>
        <w:numPr>
          <w:ilvl w:val="1"/>
          <w:numId w:val="20"/>
        </w:numPr>
        <w:spacing w:after="120" w:line="240" w:lineRule="auto"/>
      </w:pPr>
      <w:r w:rsidRPr="00145E97">
        <w:t xml:space="preserve">Высокая экономическая активность, особенно учитывая высокую деловую активность и  выгодное приграничное </w:t>
      </w:r>
      <w:proofErr w:type="spellStart"/>
      <w:r w:rsidRPr="00145E97">
        <w:t>расположени</w:t>
      </w:r>
      <w:proofErr w:type="spellEnd"/>
      <w:r w:rsidRPr="00145E97">
        <w:t>;</w:t>
      </w:r>
    </w:p>
    <w:p w:rsidR="00145E97" w:rsidRPr="00145E97" w:rsidRDefault="00145E97" w:rsidP="00145E97">
      <w:pPr>
        <w:numPr>
          <w:ilvl w:val="1"/>
          <w:numId w:val="20"/>
        </w:numPr>
        <w:spacing w:after="120" w:line="240" w:lineRule="auto"/>
      </w:pPr>
      <w:r w:rsidRPr="00145E97">
        <w:t>Один из наиболее развитых рынков страхования;</w:t>
      </w:r>
    </w:p>
    <w:p w:rsidR="00145E97" w:rsidRPr="00145E97" w:rsidRDefault="00145E97" w:rsidP="00145E97">
      <w:pPr>
        <w:numPr>
          <w:ilvl w:val="1"/>
          <w:numId w:val="20"/>
        </w:numPr>
        <w:spacing w:after="120" w:line="240" w:lineRule="auto"/>
      </w:pPr>
      <w:r w:rsidRPr="00145E97">
        <w:t>Высокая культура населения.</w:t>
      </w:r>
    </w:p>
    <w:p w:rsidR="00145E97" w:rsidRPr="00145E97" w:rsidRDefault="00145E97" w:rsidP="00145E97">
      <w:pPr>
        <w:numPr>
          <w:ilvl w:val="0"/>
          <w:numId w:val="20"/>
        </w:numPr>
        <w:spacing w:after="120" w:line="240" w:lineRule="auto"/>
      </w:pPr>
      <w:r w:rsidRPr="00145E97">
        <w:t>Вступление России в ВТО. Необходимо использовать преимущество «первого хода» в преддверии вероятного захвата рынка крупным зарубежными операторами после вступления России в ВТО. Для этого успеть не только захватить, но и закрепиться на новых рынках.</w:t>
      </w:r>
    </w:p>
    <w:p w:rsidR="00145E97" w:rsidRPr="00145E97" w:rsidRDefault="00145E97" w:rsidP="00145E97">
      <w:pPr>
        <w:numPr>
          <w:ilvl w:val="1"/>
          <w:numId w:val="21"/>
        </w:numPr>
        <w:spacing w:after="120" w:line="240" w:lineRule="auto"/>
      </w:pPr>
      <w:r w:rsidRPr="00145E97">
        <w:t>Инвестиции в имидж, в Бренд: создание лояльности целевых клиентов</w:t>
      </w:r>
    </w:p>
    <w:p w:rsidR="00145E97" w:rsidRPr="00145E97" w:rsidRDefault="00145E97" w:rsidP="00145E97">
      <w:pPr>
        <w:numPr>
          <w:ilvl w:val="1"/>
          <w:numId w:val="21"/>
        </w:numPr>
        <w:spacing w:after="120" w:line="240" w:lineRule="auto"/>
      </w:pPr>
      <w:r w:rsidRPr="00145E97">
        <w:t>Необходимо обеспечить системный доступ к крупнейшим интересующим клиентским сегментам</w:t>
      </w:r>
    </w:p>
    <w:p w:rsidR="00145E97" w:rsidRPr="00145E97" w:rsidRDefault="00145E97" w:rsidP="00145E97">
      <w:pPr>
        <w:numPr>
          <w:ilvl w:val="1"/>
          <w:numId w:val="21"/>
        </w:numPr>
        <w:spacing w:after="120" w:line="240" w:lineRule="auto"/>
      </w:pPr>
      <w:r w:rsidRPr="00145E97">
        <w:t>Накапливать информацию о рынке и потребителях выбранных сегментов</w:t>
      </w:r>
    </w:p>
    <w:p w:rsidR="00145E97" w:rsidRPr="00145E97" w:rsidRDefault="00145E97" w:rsidP="00145E97">
      <w:pPr>
        <w:numPr>
          <w:ilvl w:val="1"/>
          <w:numId w:val="21"/>
        </w:numPr>
        <w:spacing w:after="120" w:line="240" w:lineRule="auto"/>
      </w:pPr>
      <w:r w:rsidRPr="00145E97">
        <w:t>Договориться о „правилах игры" с органами власти в интересующих регионах</w:t>
      </w:r>
    </w:p>
    <w:p w:rsidR="00145E97" w:rsidRPr="00145E97" w:rsidRDefault="00145E97" w:rsidP="00145E97">
      <w:pPr>
        <w:numPr>
          <w:ilvl w:val="1"/>
          <w:numId w:val="21"/>
        </w:numPr>
        <w:spacing w:after="120" w:line="240" w:lineRule="auto"/>
      </w:pPr>
      <w:r w:rsidRPr="00145E97">
        <w:t>Приоритет долгосрочным договорам</w:t>
      </w:r>
    </w:p>
    <w:p w:rsidR="00145E97" w:rsidRPr="00145E97" w:rsidRDefault="00145E97" w:rsidP="00145E97">
      <w:pPr>
        <w:numPr>
          <w:ilvl w:val="0"/>
          <w:numId w:val="21"/>
        </w:numPr>
        <w:spacing w:after="120" w:line="240" w:lineRule="auto"/>
      </w:pPr>
      <w:r w:rsidRPr="00145E97">
        <w:t>Учитывая историю компании, «</w:t>
      </w:r>
      <w:proofErr w:type="spellStart"/>
      <w:r w:rsidRPr="00145E97">
        <w:t>кэптивный</w:t>
      </w:r>
      <w:proofErr w:type="spellEnd"/>
      <w:r w:rsidRPr="00145E97">
        <w:t>» профиль деятельности, одним из наиболее привлекательных направлений можно считать страхование имущества, так как это ближе всего по профилю деятельности, большой накопленный опыт, высокая компетентность именно в этой сфере. То есть при прочих равных (в смысле доходности и прочих рыночных параметров) приоритет.</w:t>
      </w:r>
    </w:p>
    <w:p w:rsidR="00145E97" w:rsidRPr="00145E97" w:rsidRDefault="00145E97" w:rsidP="00145E97">
      <w:pPr>
        <w:numPr>
          <w:ilvl w:val="0"/>
          <w:numId w:val="21"/>
        </w:numPr>
        <w:spacing w:after="120" w:line="240" w:lineRule="auto"/>
      </w:pPr>
      <w:r w:rsidRPr="00145E97">
        <w:t>По мере „созревания" российский рынок страхования постепенно приближается к стадии развития, характерной для рынков Польши, Чехии и Венгрии 4-5 лет назад. Эпоха становления рынка постепенно сменяется эпохой конкуренции за потребителя.</w:t>
      </w:r>
    </w:p>
    <w:p w:rsidR="00145E97" w:rsidRPr="00145E97" w:rsidRDefault="00145E97" w:rsidP="00145E97">
      <w:pPr>
        <w:numPr>
          <w:ilvl w:val="0"/>
          <w:numId w:val="21"/>
        </w:numPr>
        <w:spacing w:after="120" w:line="240" w:lineRule="auto"/>
      </w:pPr>
      <w:r w:rsidRPr="00145E97">
        <w:t xml:space="preserve">Для занятия лидерских позиций компания должна инвестировать в привлечение и обучение лучших профессионалов отрасли, отстройку бизнес-процессов, строительство масштабной системы дистрибуции и формирование сильного </w:t>
      </w:r>
      <w:proofErr w:type="spellStart"/>
      <w:r w:rsidRPr="00145E97">
        <w:t>брэнда</w:t>
      </w:r>
      <w:proofErr w:type="spellEnd"/>
      <w:r w:rsidRPr="00145E97">
        <w:t>.</w:t>
      </w:r>
    </w:p>
    <w:p w:rsidR="00145E97" w:rsidRPr="00145E97" w:rsidRDefault="00145E97" w:rsidP="00145E97">
      <w:pPr>
        <w:numPr>
          <w:ilvl w:val="0"/>
          <w:numId w:val="21"/>
        </w:numPr>
        <w:spacing w:after="120" w:line="240" w:lineRule="auto"/>
      </w:pPr>
      <w:r w:rsidRPr="00145E97">
        <w:t>В перспективе рентабельность будет падать, поэтому оптимальна  стратегия экспансивного роста за счет покупки местных страховых компаний.</w:t>
      </w:r>
    </w:p>
    <w:p w:rsidR="00145E97" w:rsidRPr="00145E97" w:rsidRDefault="00145E97" w:rsidP="00145E97">
      <w:pPr>
        <w:numPr>
          <w:ilvl w:val="0"/>
          <w:numId w:val="21"/>
        </w:numPr>
        <w:spacing w:after="120" w:line="240" w:lineRule="auto"/>
      </w:pPr>
      <w:r w:rsidRPr="00145E97">
        <w:t>Учитывая вышесказанное основной проблемой будет соблюдение разумного баланса между поиском альянса с крупным оператором с одной стороны (в случае нехватки собственных средств) и приобретением небольших местных компаний с их структурой управления и клиентурой</w:t>
      </w:r>
    </w:p>
    <w:p w:rsidR="00145E97" w:rsidRPr="00145E97" w:rsidRDefault="00145E97" w:rsidP="00145E97">
      <w:pPr>
        <w:numPr>
          <w:ilvl w:val="0"/>
          <w:numId w:val="21"/>
        </w:numPr>
        <w:spacing w:after="120" w:line="240" w:lineRule="auto"/>
      </w:pPr>
      <w:r w:rsidRPr="00145E97">
        <w:lastRenderedPageBreak/>
        <w:t>Общая тенденция на сегодня такова, что будет развиваться сектор конкурентного страхования и сокращаться сектор «оптимизационных» схем. Учитывая, что большая часть рынка находится «в тени» - «налоговое» страхование.</w:t>
      </w:r>
    </w:p>
    <w:sectPr w:rsidR="00145E97" w:rsidRPr="00145E97" w:rsidSect="00864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67DC"/>
    <w:multiLevelType w:val="multilevel"/>
    <w:tmpl w:val="64EAC6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15B0C"/>
    <w:multiLevelType w:val="multilevel"/>
    <w:tmpl w:val="4568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2438D"/>
    <w:multiLevelType w:val="multilevel"/>
    <w:tmpl w:val="51C0C7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9236AD"/>
    <w:multiLevelType w:val="multilevel"/>
    <w:tmpl w:val="907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76F48"/>
    <w:multiLevelType w:val="multilevel"/>
    <w:tmpl w:val="B720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260D71"/>
    <w:multiLevelType w:val="multilevel"/>
    <w:tmpl w:val="C57A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DA0F4C"/>
    <w:multiLevelType w:val="multilevel"/>
    <w:tmpl w:val="1EC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A55D4D"/>
    <w:multiLevelType w:val="multilevel"/>
    <w:tmpl w:val="3CC24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CF2C64"/>
    <w:multiLevelType w:val="hybridMultilevel"/>
    <w:tmpl w:val="59826A58"/>
    <w:lvl w:ilvl="0" w:tplc="32846E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85ECC"/>
    <w:multiLevelType w:val="multilevel"/>
    <w:tmpl w:val="1B921E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D60BB2"/>
    <w:multiLevelType w:val="hybridMultilevel"/>
    <w:tmpl w:val="D1346E02"/>
    <w:lvl w:ilvl="0" w:tplc="32846E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01CAE"/>
    <w:multiLevelType w:val="multilevel"/>
    <w:tmpl w:val="F1B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B128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FF327E"/>
    <w:multiLevelType w:val="multilevel"/>
    <w:tmpl w:val="AB90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9803BD"/>
    <w:multiLevelType w:val="multilevel"/>
    <w:tmpl w:val="54F6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4B3BD8"/>
    <w:multiLevelType w:val="multilevel"/>
    <w:tmpl w:val="2200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EF7D76"/>
    <w:multiLevelType w:val="multilevel"/>
    <w:tmpl w:val="E3C0C6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820D29"/>
    <w:multiLevelType w:val="multilevel"/>
    <w:tmpl w:val="38846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B16D07"/>
    <w:multiLevelType w:val="multilevel"/>
    <w:tmpl w:val="D256DA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B97E87"/>
    <w:multiLevelType w:val="multilevel"/>
    <w:tmpl w:val="8416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CC72EC"/>
    <w:multiLevelType w:val="multilevel"/>
    <w:tmpl w:val="4B508A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052BB5"/>
    <w:multiLevelType w:val="multilevel"/>
    <w:tmpl w:val="DFA8B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9C02AF"/>
    <w:multiLevelType w:val="hybridMultilevel"/>
    <w:tmpl w:val="05724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390C43"/>
    <w:multiLevelType w:val="multilevel"/>
    <w:tmpl w:val="1BA4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1"/>
  </w:num>
  <w:num w:numId="5">
    <w:abstractNumId w:val="1"/>
  </w:num>
  <w:num w:numId="6">
    <w:abstractNumId w:val="23"/>
  </w:num>
  <w:num w:numId="7">
    <w:abstractNumId w:val="14"/>
  </w:num>
  <w:num w:numId="8">
    <w:abstractNumId w:val="17"/>
  </w:num>
  <w:num w:numId="9">
    <w:abstractNumId w:val="18"/>
  </w:num>
  <w:num w:numId="10">
    <w:abstractNumId w:val="15"/>
  </w:num>
  <w:num w:numId="11">
    <w:abstractNumId w:val="7"/>
  </w:num>
  <w:num w:numId="12">
    <w:abstractNumId w:val="16"/>
  </w:num>
  <w:num w:numId="13">
    <w:abstractNumId w:val="2"/>
  </w:num>
  <w:num w:numId="14">
    <w:abstractNumId w:val="9"/>
  </w:num>
  <w:num w:numId="15">
    <w:abstractNumId w:val="13"/>
  </w:num>
  <w:num w:numId="16">
    <w:abstractNumId w:val="21"/>
  </w:num>
  <w:num w:numId="17">
    <w:abstractNumId w:val="0"/>
  </w:num>
  <w:num w:numId="18">
    <w:abstractNumId w:val="19"/>
  </w:num>
  <w:num w:numId="19">
    <w:abstractNumId w:val="20"/>
  </w:num>
  <w:num w:numId="20">
    <w:abstractNumId w:val="4"/>
  </w:num>
  <w:num w:numId="21">
    <w:abstractNumId w:val="4"/>
    <w:lvlOverride w:ilvl="0"/>
    <w:lvlOverride w:ilvl="1">
      <w:startOverride w:val="1"/>
    </w:lvlOverride>
  </w:num>
  <w:num w:numId="22">
    <w:abstractNumId w:val="10"/>
  </w:num>
  <w:num w:numId="23">
    <w:abstractNumId w:val="12"/>
  </w:num>
  <w:num w:numId="24">
    <w:abstractNumId w:val="22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145E97"/>
    <w:rsid w:val="00145E97"/>
    <w:rsid w:val="00206C2F"/>
    <w:rsid w:val="002635EA"/>
    <w:rsid w:val="004E5B5D"/>
    <w:rsid w:val="008646C9"/>
    <w:rsid w:val="00AE3ADA"/>
    <w:rsid w:val="00AE40E6"/>
    <w:rsid w:val="00DD6551"/>
    <w:rsid w:val="00E12A9D"/>
    <w:rsid w:val="00F53B0E"/>
    <w:rsid w:val="00FA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6C9"/>
  </w:style>
  <w:style w:type="paragraph" w:styleId="1">
    <w:name w:val="heading 1"/>
    <w:basedOn w:val="a"/>
    <w:link w:val="10"/>
    <w:uiPriority w:val="9"/>
    <w:qFormat/>
    <w:rsid w:val="00145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45E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45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5E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5E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4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45E97"/>
  </w:style>
  <w:style w:type="character" w:styleId="a4">
    <w:name w:val="Hyperlink"/>
    <w:basedOn w:val="a0"/>
    <w:uiPriority w:val="99"/>
    <w:unhideWhenUsed/>
    <w:rsid w:val="00145E9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45E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14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5E9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45E97"/>
    <w:pPr>
      <w:ind w:left="720"/>
      <w:contextualSpacing/>
    </w:pPr>
  </w:style>
  <w:style w:type="table" w:styleId="a8">
    <w:name w:val="Table Grid"/>
    <w:basedOn w:val="a1"/>
    <w:uiPriority w:val="59"/>
    <w:rsid w:val="00145E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40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6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Миловидова Анна</dc:creator>
  <cp:lastModifiedBy>Миловидова Анна</cp:lastModifiedBy>
  <cp:revision>3</cp:revision>
  <dcterms:created xsi:type="dcterms:W3CDTF">2013-11-09T20:20:00Z</dcterms:created>
  <dcterms:modified xsi:type="dcterms:W3CDTF">2013-11-13T18:52:00Z</dcterms:modified>
</cp:coreProperties>
</file>