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48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Blair, George A. “The Development of the Motion Picture Raw Film Industry.”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Annals of the American Academy of Political and Social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128, 1926, pp. 50–53.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JSTOR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www.jstor.org.ezproxy.lib.utexas.edu/stable/1016198. Accessed 20 Sept. 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48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Correspondent, Our Berlin. “Aluminum Films.”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Scientific American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127, no. 1, 1922, pp. 43–43.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JSTOR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www.jstor.org.ezproxy.lib.utexas.edu/stable/24993864. Accessed 20 Sept. 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48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Davis, H. S. “Celluloid Films.”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vol. 8, no. 188, 1898, pp. 163–163., doi:10.1126/science.8.188.163.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48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McIntosh, John.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Photography with Roll Films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National Drug and Chemical Co. of Canada, 1909.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