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3" w:type="dxa"/>
        <w:tblInd w:w="-8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225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3039"/>
        <w:gridCol w:w="7174"/>
      </w:tblGrid>
      <w:tr w:rsidR="00FD70BA" w:rsidRPr="00FD70BA" w14:paraId="6BF9088C" w14:textId="77777777" w:rsidTr="00FD70BA">
        <w:trPr>
          <w:trHeight w:val="44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DE1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3C0C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  <w:t>Income Tax Slab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DE1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05AD1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  <w:t>Tax Rate for Individual &amp; HUF Below the Age Of 60 Years</w:t>
            </w:r>
          </w:p>
        </w:tc>
      </w:tr>
      <w:tr w:rsidR="00FD70BA" w:rsidRPr="00FD70BA" w14:paraId="0F9D47DD" w14:textId="77777777" w:rsidTr="00FD70BA">
        <w:trPr>
          <w:trHeight w:val="4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9D02E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  <w:t>Up to ₹2,50,000*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44F27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b/>
                <w:bCs/>
                <w:color w:val="333333"/>
                <w:sz w:val="27"/>
                <w:szCs w:val="27"/>
              </w:rPr>
              <w:t>Nil</w:t>
            </w:r>
          </w:p>
        </w:tc>
      </w:tr>
      <w:tr w:rsidR="00FD70BA" w:rsidRPr="00FD70BA" w14:paraId="70D9E5C3" w14:textId="77777777" w:rsidTr="00FD70BA">
        <w:trPr>
          <w:trHeight w:val="4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AA1B5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  <w:t>₹2,50,001 to ₹5,00,000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A6DFA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  <w:t>5% of total income exceeding ₹2,50,000</w:t>
            </w:r>
          </w:p>
        </w:tc>
      </w:tr>
      <w:tr w:rsidR="00FD70BA" w:rsidRPr="00FD70BA" w14:paraId="1FCB492D" w14:textId="77777777" w:rsidTr="00FD70BA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050CA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  <w:t>₹5,00,001 to ₹10,00,000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4567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  <w:t>₹12,500 + 20% of total income exceeding ₹5,00,000</w:t>
            </w:r>
          </w:p>
        </w:tc>
      </w:tr>
      <w:tr w:rsidR="00FD70BA" w:rsidRPr="00FD70BA" w14:paraId="601820A8" w14:textId="77777777" w:rsidTr="00FD70BA">
        <w:trPr>
          <w:trHeight w:val="4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30522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  <w:t>Above ₹10,00,000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8D59F" w14:textId="77777777" w:rsidR="00FD70BA" w:rsidRPr="00FD70BA" w:rsidRDefault="00FD70BA" w:rsidP="00FD70BA">
            <w:pPr>
              <w:spacing w:before="150" w:after="450"/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</w:pPr>
            <w:r w:rsidRPr="00FD70BA">
              <w:rPr>
                <w:rFonts w:ascii="Source Sans Pro" w:eastAsia="Times New Roman" w:hAnsi="Source Sans Pro"/>
                <w:color w:val="333333"/>
                <w:sz w:val="27"/>
                <w:szCs w:val="27"/>
              </w:rPr>
              <w:t>₹1,12,500 + 30% of total income exceeding ₹10,00,000</w:t>
            </w:r>
          </w:p>
        </w:tc>
      </w:tr>
    </w:tbl>
    <w:p w14:paraId="1851F6F7" w14:textId="1B7C144F" w:rsidR="00FD70BA" w:rsidRDefault="00FD70BA"/>
    <w:p w14:paraId="0223E57B" w14:textId="36275DCD" w:rsidR="00FD70BA" w:rsidRDefault="00FD70BA"/>
    <w:p w14:paraId="1F464B35" w14:textId="61D15141" w:rsidR="00FD70BA" w:rsidRDefault="00FD70BA">
      <w:r>
        <w:t>Using the above tax slab calculate tax for the employees in the income.csv file</w:t>
      </w:r>
    </w:p>
    <w:p w14:paraId="36270F51" w14:textId="13C26237" w:rsidR="00FD70BA" w:rsidRDefault="00FD70BA">
      <w:r>
        <w:t>The tax is calculated on taxable income.</w:t>
      </w:r>
    </w:p>
    <w:p w14:paraId="233E9F3D" w14:textId="346FB709" w:rsidR="00FD70BA" w:rsidRDefault="00FD70BA"/>
    <w:p w14:paraId="3CCD9FDF" w14:textId="09A0B5C7" w:rsidR="00FD70BA" w:rsidRDefault="00FD70BA">
      <w:pPr>
        <w:rPr>
          <w:b/>
          <w:bCs/>
        </w:rPr>
      </w:pPr>
      <w:r w:rsidRPr="00FD70BA">
        <w:rPr>
          <w:b/>
          <w:bCs/>
        </w:rPr>
        <w:t>Taxable Income = Gross Salary–Rent Exemption–Home Loan Interest (</w:t>
      </w:r>
      <w:r w:rsidR="000A7814">
        <w:rPr>
          <w:b/>
          <w:bCs/>
        </w:rPr>
        <w:t xml:space="preserve">exempt </w:t>
      </w:r>
      <w:r w:rsidRPr="00FD70BA">
        <w:rPr>
          <w:b/>
          <w:bCs/>
        </w:rPr>
        <w:t>upto 2,00,000 ) – 80C Exmptions(</w:t>
      </w:r>
      <w:r w:rsidR="000A7814">
        <w:rPr>
          <w:b/>
          <w:bCs/>
        </w:rPr>
        <w:t xml:space="preserve">exempyt </w:t>
      </w:r>
      <w:r w:rsidRPr="00FD70BA">
        <w:rPr>
          <w:b/>
          <w:bCs/>
        </w:rPr>
        <w:t>upto 1,50,000)</w:t>
      </w:r>
      <w:r>
        <w:rPr>
          <w:b/>
          <w:bCs/>
        </w:rPr>
        <w:t xml:space="preserve"> – 40,000(standard deduction)</w:t>
      </w:r>
    </w:p>
    <w:p w14:paraId="51129E07" w14:textId="52455752" w:rsidR="00FD70BA" w:rsidRDefault="00FD70BA">
      <w:pPr>
        <w:rPr>
          <w:b/>
          <w:bCs/>
        </w:rPr>
      </w:pPr>
    </w:p>
    <w:p w14:paraId="4933CA64" w14:textId="66E47176" w:rsidR="00FD70BA" w:rsidRPr="00FD70BA" w:rsidRDefault="00FD70BA">
      <w:pPr>
        <w:rPr>
          <w:b/>
          <w:bCs/>
        </w:rPr>
      </w:pPr>
      <w:r>
        <w:rPr>
          <w:b/>
          <w:bCs/>
        </w:rPr>
        <w:t>Output should be a csv with name and ta</w:t>
      </w:r>
      <w:bookmarkStart w:id="0" w:name="_GoBack"/>
      <w:bookmarkEnd w:id="0"/>
      <w:r>
        <w:rPr>
          <w:b/>
          <w:bCs/>
        </w:rPr>
        <w:t>x</w:t>
      </w:r>
      <w:r w:rsidR="000A7814">
        <w:rPr>
          <w:b/>
          <w:bCs/>
        </w:rPr>
        <w:t>.</w:t>
      </w:r>
    </w:p>
    <w:sectPr w:rsidR="00FD70BA" w:rsidRPr="00FD7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2A63" w14:textId="77777777" w:rsidR="00FD70BA" w:rsidRDefault="00FD70BA">
      <w:r>
        <w:separator/>
      </w:r>
    </w:p>
  </w:endnote>
  <w:endnote w:type="continuationSeparator" w:id="0">
    <w:p w14:paraId="7EDF5DBF" w14:textId="77777777" w:rsidR="00FD70BA" w:rsidRDefault="00FD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BCBD657A-DF5E-4573-98AF-37B99C49C07A}"/>
    <w:embedBold r:id="rId2" w:fontKey="{BBCCBCDC-BA8A-41A8-993B-93256F84E2DB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CFFC0680-48A3-4EAB-B18E-112AA36789B6}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4" w:fontKey="{22EAC005-3D3A-41D0-874A-D7D12F574431}"/>
    <w:embedBold r:id="rId5" w:fontKey="{F0CB9DF2-4690-4189-A11C-9EA2E30C77E4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6" w:fontKey="{17044D5E-ACD8-4592-A4A0-FB81F4E145A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62133" w14:textId="77777777" w:rsidR="00FD70BA" w:rsidRDefault="00FD70BA">
      <w:r>
        <w:separator/>
      </w:r>
    </w:p>
  </w:footnote>
  <w:footnote w:type="continuationSeparator" w:id="0">
    <w:p w14:paraId="16ED4A35" w14:textId="77777777" w:rsidR="00FD70BA" w:rsidRDefault="00FD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BA"/>
    <w:rsid w:val="000A7814"/>
    <w:rsid w:val="008B5C80"/>
    <w:rsid w:val="00D41D8B"/>
    <w:rsid w:val="00EA1830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BC560"/>
  <w15:chartTrackingRefBased/>
  <w15:docId w15:val="{54B81876-E9EE-404B-A86C-7229EE3C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528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Kishor, Kamlesh</dc:creator>
  <cp:keywords/>
  <dc:description/>
  <cp:lastModifiedBy>Kishor, Kamlesh</cp:lastModifiedBy>
  <cp:revision>2</cp:revision>
  <dcterms:created xsi:type="dcterms:W3CDTF">2020-01-29T11:37:00Z</dcterms:created>
  <dcterms:modified xsi:type="dcterms:W3CDTF">2020-01-30T06:03:00Z</dcterms:modified>
</cp:coreProperties>
</file>