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日語動詞變化練習表</w:t>
      </w:r>
    </w:p>
    <w:p>
      <w:pPr>
        <w:spacing w:after="140"/>
        <w:jc w:val="center"/>
      </w:pPr>
      <w:r>
        <w:rPr>
          <w:color w:val="5C6B73"/>
          <w:sz w:val="22"/>
        </w:rPr>
        <w:t>N5至N4 文法總複習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cantSplit/>
        </w:trPr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8"/>
              </w:rPr>
              <w:t>姓名　________________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8"/>
              </w:rPr>
              <w:t>日期　________________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8"/>
              </w:rPr>
              <w:t>得分　________________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0" w:after="100"/>
      </w:pPr>
      <w:r>
        <w:t>使用方式</w:t>
      </w:r>
    </w:p>
    <w:p>
      <w:pPr>
        <w:spacing w:before="0" w:after="100" w:line="252" w:lineRule="auto"/>
      </w:pPr>
      <w:r>
        <w:rPr>
          <w:color w:val="5C6B73"/>
          <w:sz w:val="18"/>
        </w:rPr>
        <w:t>先判斷動詞類別，再依指定形式完成變化。紙本可直接書寫；完成後以第五頁答案核對。第二類動詞的受身形與可能形相同，請依題目欄位判斷功能。</w:t>
      </w:r>
    </w:p>
    <w:p>
      <w:pPr>
        <w:pStyle w:val="Heading2"/>
        <w:keepNext/>
        <w:pageBreakBefore w:val="0"/>
        <w:spacing w:before="0" w:after="100"/>
      </w:pPr>
      <w:r>
        <w:t>變化範圍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cantSplit/>
          <w:tblHeader w:val="true"/>
        </w:trPr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形式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主要意思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形式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主要意思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ます形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禮貌敘述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たい形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願望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ない形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否定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使役形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使役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受身形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被動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使役受身形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被迫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命令形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命令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ば形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假設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可能形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能力或可能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意向形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意志或邀請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て形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連接或指示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た形</w:t>
            </w:r>
          </w:p>
        </w:tc>
        <w:tc>
          <w:tcPr>
            <w:tcW w:type="dxa" w:w="345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過去或完成</w:t>
            </w:r>
          </w:p>
        </w:tc>
      </w:tr>
    </w:tbl>
    <w:p>
      <w:pPr>
        <w:pStyle w:val="Heading1"/>
        <w:keepNext/>
        <w:pageBreakBefore w:val="0"/>
        <w:spacing w:before="120" w:after="100"/>
      </w:pPr>
      <w:r>
        <w:t>第一部分 動詞分類</w:t>
      </w:r>
    </w:p>
    <w:p>
      <w:pPr>
        <w:spacing w:before="0" w:after="100" w:line="252" w:lineRule="auto"/>
      </w:pPr>
      <w:r>
        <w:rPr>
          <w:color w:val="5C6B73"/>
          <w:sz w:val="18"/>
        </w:rPr>
        <w:t>請在類別欄填入第一類、第二類或不規則。注意帰る是第一類動詞。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rPr>
          <w:cantSplit/>
          <w:tblHeader w:val="true"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題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動詞與意思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類別</w:t>
            </w:r>
          </w:p>
        </w:tc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題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動詞與意思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類別</w:t>
            </w:r>
          </w:p>
        </w:tc>
      </w:tr>
      <w:tr>
        <w:trPr>
          <w:trHeight w:val="465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1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買う　買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9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帰る　回家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465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2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書く　寫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10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食べる　吃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465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3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泳ぐ　游泳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11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見る　看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465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4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話す　說話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12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起きる　起床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465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5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待つ　等待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13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開ける　打開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465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6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死ぬ　死亡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14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する　做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465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7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遊ぶ　遊玩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15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来る（くる）　來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465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8</w:t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読む　閱讀</w:t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266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9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</w:tbl>
    <w:p>
      <w:r>
        <w:br w:type="page"/>
      </w:r>
    </w:p>
    <w:p>
      <w:pPr>
        <w:pStyle w:val="Heading1"/>
        <w:keepNext/>
        <w:pageBreakBefore w:val="0"/>
        <w:spacing w:before="0" w:after="100"/>
      </w:pPr>
      <w:r>
        <w:t>第二部分 基本變化</w:t>
      </w:r>
    </w:p>
    <w:p>
      <w:pPr>
        <w:spacing w:before="0" w:after="100" w:line="252" w:lineRule="auto"/>
      </w:pPr>
      <w:r>
        <w:rPr>
          <w:color w:val="5C6B73"/>
          <w:sz w:val="18"/>
        </w:rPr>
        <w:t>將辭書形改成指定形式。第一類動詞可先抓住 A 音、I 音、O 音；第二類動詞先去る。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244A63"/>
                <w:sz w:val="16"/>
              </w:rPr>
              <w:t>U → A　ない形</w:t>
            </w:r>
          </w:p>
        </w:tc>
        <w:tc>
          <w:tcPr>
            <w:tcW w:type="dxa" w:w="260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244A63"/>
                <w:sz w:val="16"/>
              </w:rPr>
              <w:t>U → I　ます形・たい形</w:t>
            </w:r>
          </w:p>
        </w:tc>
        <w:tc>
          <w:tcPr>
            <w:tcW w:type="dxa" w:w="260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244A63"/>
                <w:sz w:val="16"/>
              </w:rPr>
              <w:t>U → O　意向形</w:t>
            </w:r>
          </w:p>
        </w:tc>
        <w:tc>
          <w:tcPr>
            <w:tcW w:type="dxa" w:w="260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244A63"/>
                <w:sz w:val="16"/>
              </w:rPr>
              <w:t>う結尾的ない形改為わない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cantSplit/>
          <w:tblHeader w:val="true"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題</w:t>
            </w:r>
          </w:p>
        </w:tc>
        <w:tc>
          <w:tcPr>
            <w:tcW w:type="dxa" w:w="153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辭書形</w:t>
            </w:r>
          </w:p>
        </w:tc>
        <w:tc>
          <w:tcPr>
            <w:tcW w:type="dxa" w:w="124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類別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ます形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たい形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ない形</w:t>
            </w:r>
          </w:p>
        </w:tc>
        <w:tc>
          <w:tcPr>
            <w:tcW w:type="dxa" w:w="181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意向形</w:t>
            </w:r>
          </w:p>
        </w:tc>
      </w:tr>
      <w:tr>
        <w:trPr>
          <w:trHeight w:val="896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1</w:t>
            </w:r>
          </w:p>
        </w:tc>
        <w:tc>
          <w:tcPr>
            <w:tcW w:type="dxa" w:w="153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書く</w:t>
            </w:r>
          </w:p>
        </w:tc>
        <w:tc>
          <w:tcPr>
            <w:tcW w:type="dxa" w:w="124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第一類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81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896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2</w:t>
            </w:r>
          </w:p>
        </w:tc>
        <w:tc>
          <w:tcPr>
            <w:tcW w:type="dxa" w:w="153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急ぐ</w:t>
            </w:r>
          </w:p>
        </w:tc>
        <w:tc>
          <w:tcPr>
            <w:tcW w:type="dxa" w:w="124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第一類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81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896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3</w:t>
            </w:r>
          </w:p>
        </w:tc>
        <w:tc>
          <w:tcPr>
            <w:tcW w:type="dxa" w:w="153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話す</w:t>
            </w:r>
          </w:p>
        </w:tc>
        <w:tc>
          <w:tcPr>
            <w:tcW w:type="dxa" w:w="124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第一類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81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896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4</w:t>
            </w:r>
          </w:p>
        </w:tc>
        <w:tc>
          <w:tcPr>
            <w:tcW w:type="dxa" w:w="153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待つ</w:t>
            </w:r>
          </w:p>
        </w:tc>
        <w:tc>
          <w:tcPr>
            <w:tcW w:type="dxa" w:w="124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第一類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81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896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5</w:t>
            </w:r>
          </w:p>
        </w:tc>
        <w:tc>
          <w:tcPr>
            <w:tcW w:type="dxa" w:w="153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買う</w:t>
            </w:r>
          </w:p>
        </w:tc>
        <w:tc>
          <w:tcPr>
            <w:tcW w:type="dxa" w:w="124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第一類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81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896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6</w:t>
            </w:r>
          </w:p>
        </w:tc>
        <w:tc>
          <w:tcPr>
            <w:tcW w:type="dxa" w:w="153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食べる</w:t>
            </w:r>
          </w:p>
        </w:tc>
        <w:tc>
          <w:tcPr>
            <w:tcW w:type="dxa" w:w="124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第二類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81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896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7</w:t>
            </w:r>
          </w:p>
        </w:tc>
        <w:tc>
          <w:tcPr>
            <w:tcW w:type="dxa" w:w="153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見る</w:t>
            </w:r>
          </w:p>
        </w:tc>
        <w:tc>
          <w:tcPr>
            <w:tcW w:type="dxa" w:w="124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第二類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81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896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8</w:t>
            </w:r>
          </w:p>
        </w:tc>
        <w:tc>
          <w:tcPr>
            <w:tcW w:type="dxa" w:w="153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起きる</w:t>
            </w:r>
          </w:p>
        </w:tc>
        <w:tc>
          <w:tcPr>
            <w:tcW w:type="dxa" w:w="124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第二類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81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896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9</w:t>
            </w:r>
          </w:p>
        </w:tc>
        <w:tc>
          <w:tcPr>
            <w:tcW w:type="dxa" w:w="153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する</w:t>
            </w:r>
          </w:p>
        </w:tc>
        <w:tc>
          <w:tcPr>
            <w:tcW w:type="dxa" w:w="124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不規則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81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  <w:tr>
        <w:trPr>
          <w:trHeight w:val="896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10</w:t>
            </w:r>
          </w:p>
        </w:tc>
        <w:tc>
          <w:tcPr>
            <w:tcW w:type="dxa" w:w="153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来る（くる）</w:t>
            </w:r>
          </w:p>
        </w:tc>
        <w:tc>
          <w:tcPr>
            <w:tcW w:type="dxa" w:w="124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  <w:t>不規則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  <w:tc>
          <w:tcPr>
            <w:tcW w:type="dxa" w:w="181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7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7"/>
              </w:rPr>
            </w:r>
          </w:p>
        </w:tc>
      </w:tr>
    </w:tbl>
    <w:p>
      <w:r>
        <w:br w:type="page"/>
      </w:r>
    </w:p>
    <w:p>
      <w:pPr>
        <w:pStyle w:val="Heading1"/>
        <w:keepNext/>
        <w:pageBreakBefore w:val="0"/>
        <w:spacing w:before="0" w:after="100"/>
      </w:pPr>
      <w:r>
        <w:t>第三部分 語態與條件</w:t>
      </w:r>
    </w:p>
    <w:p>
      <w:pPr>
        <w:spacing w:before="0" w:after="100" w:line="252" w:lineRule="auto"/>
      </w:pPr>
      <w:r>
        <w:rPr>
          <w:color w:val="5C6B73"/>
          <w:sz w:val="18"/>
        </w:rPr>
        <w:t>上半部練習 A 音系列，下半部練習 E 音系列。每題均以辭書形作答，不必改成過去式或禮貌形。</w:t>
      </w:r>
    </w:p>
    <w:p>
      <w:pPr>
        <w:pStyle w:val="Heading2"/>
        <w:keepNext/>
        <w:pageBreakBefore w:val="0"/>
        <w:spacing w:before="0" w:after="100"/>
      </w:pPr>
      <w:r>
        <w:t>使役形 受身形 使役受身形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rPr>
          <w:cantSplit/>
          <w:tblHeader w:val="true"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題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辭書形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221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使役形</w:t>
            </w:r>
          </w:p>
        </w:tc>
        <w:tc>
          <w:tcPr>
            <w:tcW w:type="dxa" w:w="215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受身形</w:t>
            </w:r>
          </w:p>
        </w:tc>
        <w:tc>
          <w:tcPr>
            <w:tcW w:type="dxa" w:w="255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使役受身形</w:t>
            </w:r>
          </w:p>
        </w:tc>
      </w:tr>
      <w:tr>
        <w:trPr>
          <w:trHeight w:val="573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1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読む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21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15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55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73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2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遊ぶ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21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15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55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73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3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帰る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21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15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55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73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4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行く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21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15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55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73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5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食べる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第二類</w:t>
            </w:r>
          </w:p>
        </w:tc>
        <w:tc>
          <w:tcPr>
            <w:tcW w:type="dxa" w:w="221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15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55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73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6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教える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第二類</w:t>
            </w:r>
          </w:p>
        </w:tc>
        <w:tc>
          <w:tcPr>
            <w:tcW w:type="dxa" w:w="221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15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55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73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7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する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不規則</w:t>
            </w:r>
          </w:p>
        </w:tc>
        <w:tc>
          <w:tcPr>
            <w:tcW w:type="dxa" w:w="221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15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55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73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8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来る（くる）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不規則</w:t>
            </w:r>
          </w:p>
        </w:tc>
        <w:tc>
          <w:tcPr>
            <w:tcW w:type="dxa" w:w="221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15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55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</w:tbl>
    <w:p>
      <w:pPr>
        <w:pStyle w:val="Heading2"/>
        <w:keepNext/>
        <w:pageBreakBefore w:val="0"/>
        <w:spacing w:before="140" w:after="100"/>
      </w:pPr>
      <w:r>
        <w:t>命令形 ば形 可能形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rPr>
          <w:cantSplit/>
          <w:tblHeader w:val="true"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題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辭書形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命令形</w:t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ば形</w:t>
            </w:r>
          </w:p>
        </w:tc>
        <w:tc>
          <w:tcPr>
            <w:tcW w:type="dxa" w:w="23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可能形</w:t>
            </w:r>
          </w:p>
        </w:tc>
      </w:tr>
      <w:tr>
        <w:trPr>
          <w:trHeight w:val="544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1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読む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3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44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2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遊ぶ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3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44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3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帰る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3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44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4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行く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3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44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5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食べる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第二類</w:t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3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44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6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教える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第二類</w:t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3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44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7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する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不規則</w:t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3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544" w:hRule="atLeast"/>
          <w:cantSplit/>
        </w:trPr>
        <w:tc>
          <w:tcPr>
            <w:tcW w:type="dxa" w:w="56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8</w:t>
            </w:r>
          </w:p>
        </w:tc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来る（くる）</w:t>
            </w:r>
          </w:p>
        </w:tc>
        <w:tc>
          <w:tcPr>
            <w:tcW w:type="dxa" w:w="130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不規則</w:t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26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38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  <w:keepNext/>
        <w:pageBreakBefore w:val="0"/>
        <w:spacing w:before="0" w:after="100"/>
      </w:pPr>
      <w:r>
        <w:t>第四部分 て形與た形</w:t>
      </w:r>
    </w:p>
    <w:p>
      <w:pPr>
        <w:spacing w:before="0" w:after="100" w:line="252" w:lineRule="auto"/>
      </w:pPr>
      <w:r>
        <w:rPr>
          <w:color w:val="5C6B73"/>
          <w:sz w:val="18"/>
        </w:rPr>
        <w:t>第一類動詞請留意音便。行く是例外，變成行って與行った。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cantSplit/>
          <w:tblHeader w:val="true"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題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辭書形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て形</w:t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た形</w:t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1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書く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2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泳ぐ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3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話す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4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買う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5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待つ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6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帰る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7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読む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8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遊ぶ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9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死ぬ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10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行く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第一類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11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食べる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第二類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12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見る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第二類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13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起きる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第二類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14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する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不規則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15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来る（くる）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不規則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  <w:tr>
        <w:trPr>
          <w:trHeight w:val="408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16</w:t>
            </w:r>
          </w:p>
        </w:tc>
        <w:tc>
          <w:tcPr>
            <w:tcW w:type="dxa" w:w="243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勉強する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EAF2F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不規則</w:t>
            </w:r>
          </w:p>
        </w:tc>
        <w:tc>
          <w:tcPr>
            <w:tcW w:type="dxa" w:w="2835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  <w:tc>
          <w:tcPr>
            <w:tcW w:type="dxa" w:w="27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</w:r>
          </w:p>
        </w:tc>
      </w:tr>
    </w:tbl>
    <w:p>
      <w:pPr>
        <w:pStyle w:val="Heading1"/>
        <w:keepNext/>
        <w:pageBreakBefore w:val="0"/>
        <w:spacing w:before="140" w:after="100"/>
      </w:pPr>
      <w:r>
        <w:t>第五部分 句子應用</w:t>
      </w:r>
    </w:p>
    <w:p>
      <w:pPr>
        <w:spacing w:before="0" w:after="100" w:line="252" w:lineRule="auto"/>
      </w:pPr>
      <w:r>
        <w:rPr>
          <w:color w:val="5C6B73"/>
          <w:sz w:val="18"/>
        </w:rPr>
        <w:t>依括號內的動詞與指定形式完成句子。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cantSplit/>
          <w:tblHeader w:val="true"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題</w:t>
            </w:r>
          </w:p>
        </w:tc>
        <w:tc>
          <w:tcPr>
            <w:tcW w:type="dxa" w:w="6633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句子</w:t>
            </w:r>
          </w:p>
        </w:tc>
        <w:tc>
          <w:tcPr>
            <w:tcW w:type="dxa" w:w="311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提示</w:t>
            </w:r>
          </w:p>
        </w:tc>
      </w:tr>
      <w:tr>
        <w:trPr>
          <w:trHeight w:val="420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1</w:t>
            </w:r>
          </w:p>
        </w:tc>
        <w:tc>
          <w:tcPr>
            <w:tcW w:type="dxa" w:w="6633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毎朝六時に＿＿＿＿。</w:t>
            </w:r>
          </w:p>
        </w:tc>
        <w:tc>
          <w:tcPr>
            <w:tcW w:type="dxa" w:w="311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起きる　ます形</w:t>
            </w:r>
          </w:p>
        </w:tc>
      </w:tr>
      <w:tr>
        <w:trPr>
          <w:trHeight w:val="420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2</w:t>
            </w:r>
          </w:p>
        </w:tc>
        <w:tc>
          <w:tcPr>
            <w:tcW w:type="dxa" w:w="6633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夏休みに北海道へ＿＿＿＿。</w:t>
            </w:r>
          </w:p>
        </w:tc>
        <w:tc>
          <w:tcPr>
            <w:tcW w:type="dxa" w:w="311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行く　たい形</w:t>
            </w:r>
          </w:p>
        </w:tc>
      </w:tr>
      <w:tr>
        <w:trPr>
          <w:trHeight w:val="420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3</w:t>
            </w:r>
          </w:p>
        </w:tc>
        <w:tc>
          <w:tcPr>
            <w:tcW w:type="dxa" w:w="6633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今日はコーヒーを＿＿＿＿。</w:t>
            </w:r>
          </w:p>
        </w:tc>
        <w:tc>
          <w:tcPr>
            <w:tcW w:type="dxa" w:w="311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飲む　ない形</w:t>
            </w:r>
          </w:p>
        </w:tc>
      </w:tr>
      <w:tr>
        <w:trPr>
          <w:trHeight w:val="420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4</w:t>
            </w:r>
          </w:p>
        </w:tc>
        <w:tc>
          <w:tcPr>
            <w:tcW w:type="dxa" w:w="6633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先生は学生に作文を＿＿＿＿。</w:t>
            </w:r>
          </w:p>
        </w:tc>
        <w:tc>
          <w:tcPr>
            <w:tcW w:type="dxa" w:w="311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書く　使役形</w:t>
            </w:r>
          </w:p>
        </w:tc>
      </w:tr>
      <w:tr>
        <w:trPr>
          <w:trHeight w:val="420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5</w:t>
            </w:r>
          </w:p>
        </w:tc>
        <w:tc>
          <w:tcPr>
            <w:tcW w:type="dxa" w:w="6633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私は弟にケーキを＿＿＿＿。</w:t>
            </w:r>
          </w:p>
        </w:tc>
        <w:tc>
          <w:tcPr>
            <w:tcW w:type="dxa" w:w="311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食べる　受身形</w:t>
            </w:r>
          </w:p>
        </w:tc>
      </w:tr>
      <w:tr>
        <w:trPr>
          <w:trHeight w:val="420" w:hRule="atLeast"/>
          <w:cantSplit/>
        </w:trPr>
        <w:tc>
          <w:tcPr>
            <w:tcW w:type="dxa" w:w="6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6</w:t>
            </w:r>
          </w:p>
        </w:tc>
        <w:tc>
          <w:tcPr>
            <w:tcW w:type="dxa" w:w="6633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子どもの頃、野菜を＿＿＿＿ことが多かった。</w:t>
            </w:r>
          </w:p>
        </w:tc>
        <w:tc>
          <w:tcPr>
            <w:tcW w:type="dxa" w:w="311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6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6"/>
              </w:rPr>
              <w:t>食べる　使役受身形</w:t>
            </w:r>
          </w:p>
        </w:tc>
      </w:tr>
    </w:tbl>
    <w:p>
      <w:pPr>
        <w:pStyle w:val="Heading1"/>
        <w:keepNext/>
        <w:pageBreakBefore/>
        <w:spacing w:before="0" w:after="100"/>
      </w:pPr>
      <w:r>
        <w:t>答案</w:t>
      </w:r>
    </w:p>
    <w:p>
      <w:pPr>
        <w:spacing w:before="0" w:after="100" w:line="252" w:lineRule="auto"/>
      </w:pPr>
      <w:r>
        <w:rPr>
          <w:color w:val="5C6B73"/>
          <w:sz w:val="18"/>
        </w:rPr>
        <w:t>假名寫法也可作為正確答案。第二類動詞的受身形與可能形外形相同。</w:t>
      </w:r>
    </w:p>
    <w:p>
      <w:pPr>
        <w:pStyle w:val="Heading2"/>
        <w:keepNext/>
        <w:pageBreakBefore w:val="0"/>
        <w:spacing w:before="0" w:after="100"/>
      </w:pPr>
      <w:r>
        <w:t>第一部分 動詞分類</w:t>
      </w:r>
    </w:p>
    <w:p>
      <w:pPr>
        <w:spacing w:after="100" w:line="240" w:lineRule="auto"/>
      </w:pPr>
      <w:r>
        <w:rPr>
          <w:sz w:val="15"/>
        </w:rPr>
        <w:t>1. 第一類　2. 第一類　3. 第一類　4. 第一類　5. 第一類　6. 第一類　7. 第一類　8. 第一類　9. 第一類　10. 第二類　11. 第二類　12. 第二類　13. 第二類　14. 不規則　15. 不規則</w:t>
      </w:r>
    </w:p>
    <w:p>
      <w:pPr>
        <w:pStyle w:val="Heading2"/>
        <w:keepNext/>
        <w:pageBreakBefore w:val="0"/>
        <w:spacing w:before="0" w:after="100"/>
      </w:pPr>
      <w:r>
        <w:t>第二部分 基本變化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rPr>
          <w:cantSplit/>
          <w:tblHeader w:val="true"/>
        </w:trPr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  <w:t>辭書形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  <w:t>ます形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  <w:t>たい形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  <w:t>ない形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  <w:t>意向形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4"/>
              </w:rPr>
              <w:t>類別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書く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書きます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書きたい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書かない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書こう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第一類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急ぐ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急ぎます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急ぎたい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急がない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急ごう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第一類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話す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話します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話したい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話さない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話そう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第一類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待つ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待ちます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待ちたい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待たない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待とう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第一類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買う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買います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買いたい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買わない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買おう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第一類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食べる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食べます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食べたい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食べない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食べよう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第二類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見る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見ます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見たい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見ない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見よう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第二類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起きる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起きます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起きたい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起きない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起きよう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第二類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する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します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したい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しない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しよう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不規則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来る（くる）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来ます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来たい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来ない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来よう</w:t>
            </w:r>
          </w:p>
        </w:tc>
        <w:tc>
          <w:tcPr>
            <w:tcW w:type="dxa" w:w="1757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sz w:val="14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4"/>
              </w:rPr>
              <w:t>不規則</w:t>
            </w:r>
          </w:p>
        </w:tc>
      </w:tr>
    </w:tbl>
    <w:p>
      <w:pPr>
        <w:pStyle w:val="Heading2"/>
        <w:keepNext/>
        <w:pageBreakBefore w:val="0"/>
        <w:spacing w:before="100" w:after="100"/>
      </w:pPr>
      <w:r>
        <w:t>第三部分 語態與條件</w:t>
      </w:r>
    </w:p>
    <w:p>
      <w:pPr>
        <w:spacing w:before="0" w:after="20" w:line="228" w:lineRule="auto"/>
      </w:pPr>
      <w:r>
        <w:rPr>
          <w:rFonts w:ascii="Arial Unicode MS" w:hAnsi="Arial Unicode MS" w:eastAsia="Arial Unicode MS"/>
          <w:b/>
          <w:sz w:val="14"/>
        </w:rPr>
        <w:t xml:space="preserve">1. 読む　</w:t>
      </w:r>
      <w:r>
        <w:rPr>
          <w:rFonts w:ascii="Arial Unicode MS" w:hAnsi="Arial Unicode MS" w:eastAsia="Arial Unicode MS"/>
          <w:sz w:val="14"/>
        </w:rPr>
        <w:t>使役 読ませる　受身 読まれる　使役受身 読まされる　命令 読め　ば 読めば　可能 読める</w:t>
      </w:r>
    </w:p>
    <w:p>
      <w:pPr>
        <w:spacing w:before="0" w:after="20" w:line="228" w:lineRule="auto"/>
      </w:pPr>
      <w:r>
        <w:rPr>
          <w:rFonts w:ascii="Arial Unicode MS" w:hAnsi="Arial Unicode MS" w:eastAsia="Arial Unicode MS"/>
          <w:b/>
          <w:sz w:val="14"/>
        </w:rPr>
        <w:t xml:space="preserve">2. 遊ぶ　</w:t>
      </w:r>
      <w:r>
        <w:rPr>
          <w:rFonts w:ascii="Arial Unicode MS" w:hAnsi="Arial Unicode MS" w:eastAsia="Arial Unicode MS"/>
          <w:sz w:val="14"/>
        </w:rPr>
        <w:t>使役 遊ばせる　受身 遊ばれる　使役受身 遊ばされる　命令 遊べ　ば 遊べば　可能 遊べる</w:t>
      </w:r>
    </w:p>
    <w:p>
      <w:pPr>
        <w:spacing w:before="0" w:after="20" w:line="228" w:lineRule="auto"/>
      </w:pPr>
      <w:r>
        <w:rPr>
          <w:rFonts w:ascii="Arial Unicode MS" w:hAnsi="Arial Unicode MS" w:eastAsia="Arial Unicode MS"/>
          <w:b/>
          <w:sz w:val="14"/>
        </w:rPr>
        <w:t xml:space="preserve">3. 帰る　</w:t>
      </w:r>
      <w:r>
        <w:rPr>
          <w:rFonts w:ascii="Arial Unicode MS" w:hAnsi="Arial Unicode MS" w:eastAsia="Arial Unicode MS"/>
          <w:sz w:val="14"/>
        </w:rPr>
        <w:t>使役 帰らせる　受身 帰られる　使役受身 帰らされる　命令 帰れ　ば 帰れば　可能 帰れる</w:t>
      </w:r>
    </w:p>
    <w:p>
      <w:pPr>
        <w:spacing w:before="0" w:after="20" w:line="228" w:lineRule="auto"/>
      </w:pPr>
      <w:r>
        <w:rPr>
          <w:rFonts w:ascii="Arial Unicode MS" w:hAnsi="Arial Unicode MS" w:eastAsia="Arial Unicode MS"/>
          <w:b/>
          <w:sz w:val="14"/>
        </w:rPr>
        <w:t xml:space="preserve">4. 行く　</w:t>
      </w:r>
      <w:r>
        <w:rPr>
          <w:rFonts w:ascii="Arial Unicode MS" w:hAnsi="Arial Unicode MS" w:eastAsia="Arial Unicode MS"/>
          <w:sz w:val="14"/>
        </w:rPr>
        <w:t>使役 行かせる　受身 行かれる　使役受身 行かされる　命令 行け　ば 行けば　可能 行ける</w:t>
      </w:r>
    </w:p>
    <w:p>
      <w:pPr>
        <w:spacing w:before="0" w:after="20" w:line="228" w:lineRule="auto"/>
      </w:pPr>
      <w:r>
        <w:rPr>
          <w:rFonts w:ascii="Arial Unicode MS" w:hAnsi="Arial Unicode MS" w:eastAsia="Arial Unicode MS"/>
          <w:b/>
          <w:sz w:val="14"/>
        </w:rPr>
        <w:t xml:space="preserve">5. 食べる　</w:t>
      </w:r>
      <w:r>
        <w:rPr>
          <w:rFonts w:ascii="Arial Unicode MS" w:hAnsi="Arial Unicode MS" w:eastAsia="Arial Unicode MS"/>
          <w:sz w:val="14"/>
        </w:rPr>
        <w:t>使役 食べさせる　受身 食べられる　使役受身 食べさせられる　命令 食べろ　ば 食べれば　可能 食べられる</w:t>
      </w:r>
    </w:p>
    <w:p>
      <w:pPr>
        <w:spacing w:before="0" w:after="20" w:line="228" w:lineRule="auto"/>
      </w:pPr>
      <w:r>
        <w:rPr>
          <w:rFonts w:ascii="Arial Unicode MS" w:hAnsi="Arial Unicode MS" w:eastAsia="Arial Unicode MS"/>
          <w:b/>
          <w:sz w:val="14"/>
        </w:rPr>
        <w:t xml:space="preserve">6. 教える　</w:t>
      </w:r>
      <w:r>
        <w:rPr>
          <w:rFonts w:ascii="Arial Unicode MS" w:hAnsi="Arial Unicode MS" w:eastAsia="Arial Unicode MS"/>
          <w:sz w:val="14"/>
        </w:rPr>
        <w:t>使役 教えさせる　受身 教えられる　使役受身 教えさせられる　命令 教えろ　ば 教えれば　可能 教えられる</w:t>
      </w:r>
    </w:p>
    <w:p>
      <w:pPr>
        <w:spacing w:before="0" w:after="20" w:line="228" w:lineRule="auto"/>
      </w:pPr>
      <w:r>
        <w:rPr>
          <w:rFonts w:ascii="Arial Unicode MS" w:hAnsi="Arial Unicode MS" w:eastAsia="Arial Unicode MS"/>
          <w:b/>
          <w:sz w:val="14"/>
        </w:rPr>
        <w:t xml:space="preserve">7. する　</w:t>
      </w:r>
      <w:r>
        <w:rPr>
          <w:rFonts w:ascii="Arial Unicode MS" w:hAnsi="Arial Unicode MS" w:eastAsia="Arial Unicode MS"/>
          <w:sz w:val="14"/>
        </w:rPr>
        <w:t>使役 させる　受身 される　使役受身 させられる　命令 しろ　ば すれば　可能 できる</w:t>
      </w:r>
    </w:p>
    <w:p>
      <w:pPr>
        <w:spacing w:before="0" w:after="20" w:line="228" w:lineRule="auto"/>
      </w:pPr>
      <w:r>
        <w:rPr>
          <w:rFonts w:ascii="Arial Unicode MS" w:hAnsi="Arial Unicode MS" w:eastAsia="Arial Unicode MS"/>
          <w:b/>
          <w:sz w:val="14"/>
        </w:rPr>
        <w:t xml:space="preserve">8. 来る（くる）　</w:t>
      </w:r>
      <w:r>
        <w:rPr>
          <w:rFonts w:ascii="Arial Unicode MS" w:hAnsi="Arial Unicode MS" w:eastAsia="Arial Unicode MS"/>
          <w:sz w:val="14"/>
        </w:rPr>
        <w:t>使役 来させる　受身 来られる　使役受身 来させられる　命令 来い　ば 来れば　可能 来られる</w:t>
      </w:r>
    </w:p>
    <w:p>
      <w:pPr>
        <w:pStyle w:val="Heading2"/>
        <w:keepNext/>
        <w:pageBreakBefore w:val="0"/>
        <w:spacing w:before="100" w:after="100"/>
      </w:pPr>
      <w:r>
        <w:t>第四部分 て形與た形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cantSplit/>
          <w:tblHeader w:val="true"/>
        </w:trPr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1 至 8</w:t>
            </w:r>
          </w:p>
        </w:tc>
        <w:tc>
          <w:tcPr>
            <w:tcW w:type="dxa" w:w="340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答案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9 至 16</w:t>
            </w:r>
          </w:p>
        </w:tc>
        <w:tc>
          <w:tcPr>
            <w:tcW w:type="dxa" w:w="362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244A6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</w: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答案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1. 書く</w:t>
            </w:r>
          </w:p>
        </w:tc>
        <w:tc>
          <w:tcPr>
            <w:tcW w:type="dxa" w:w="340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書いて／書いた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9. 死ぬ</w:t>
            </w:r>
          </w:p>
        </w:tc>
        <w:tc>
          <w:tcPr>
            <w:tcW w:type="dxa" w:w="362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死んで／死んだ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2. 泳ぐ</w:t>
            </w:r>
          </w:p>
        </w:tc>
        <w:tc>
          <w:tcPr>
            <w:tcW w:type="dxa" w:w="340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泳いで／泳いだ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10. 行く</w:t>
            </w:r>
          </w:p>
        </w:tc>
        <w:tc>
          <w:tcPr>
            <w:tcW w:type="dxa" w:w="362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行って／行った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3. 話す</w:t>
            </w:r>
          </w:p>
        </w:tc>
        <w:tc>
          <w:tcPr>
            <w:tcW w:type="dxa" w:w="340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話して／話した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11. 食べる</w:t>
            </w:r>
          </w:p>
        </w:tc>
        <w:tc>
          <w:tcPr>
            <w:tcW w:type="dxa" w:w="362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食べて／食べた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4. 買う</w:t>
            </w:r>
          </w:p>
        </w:tc>
        <w:tc>
          <w:tcPr>
            <w:tcW w:type="dxa" w:w="340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買って／買った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12. 見る</w:t>
            </w:r>
          </w:p>
        </w:tc>
        <w:tc>
          <w:tcPr>
            <w:tcW w:type="dxa" w:w="362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見て／見た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5. 待つ</w:t>
            </w:r>
          </w:p>
        </w:tc>
        <w:tc>
          <w:tcPr>
            <w:tcW w:type="dxa" w:w="340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待って／待った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13. 起きる</w:t>
            </w:r>
          </w:p>
        </w:tc>
        <w:tc>
          <w:tcPr>
            <w:tcW w:type="dxa" w:w="362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起きて／起きた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6. 帰る</w:t>
            </w:r>
          </w:p>
        </w:tc>
        <w:tc>
          <w:tcPr>
            <w:tcW w:type="dxa" w:w="340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帰って／帰った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14. する</w:t>
            </w:r>
          </w:p>
        </w:tc>
        <w:tc>
          <w:tcPr>
            <w:tcW w:type="dxa" w:w="362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して／した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7. 読む</w:t>
            </w:r>
          </w:p>
        </w:tc>
        <w:tc>
          <w:tcPr>
            <w:tcW w:type="dxa" w:w="340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読んで／読んだ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15. 来る（くる）</w:t>
            </w:r>
          </w:p>
        </w:tc>
        <w:tc>
          <w:tcPr>
            <w:tcW w:type="dxa" w:w="362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来て／来た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8. 遊ぶ</w:t>
            </w:r>
          </w:p>
        </w:tc>
        <w:tc>
          <w:tcPr>
            <w:tcW w:type="dxa" w:w="340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遊んで／遊んだ</w:t>
            </w:r>
          </w:p>
        </w:tc>
        <w:tc>
          <w:tcPr>
            <w:tcW w:type="dxa" w:w="170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16. 勉強する</w:t>
            </w:r>
          </w:p>
        </w:tc>
        <w:tc>
          <w:tcPr>
            <w:tcW w:type="dxa" w:w="362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/>
                <w:sz w:val="15"/>
              </w:rPr>
            </w:r>
            <w:r>
              <w:rPr>
                <w:rFonts w:ascii="Arial Unicode MS" w:hAnsi="Arial Unicode MS" w:eastAsia="Arial Unicode MS"/>
                <w:b w:val="0"/>
                <w:color w:val="17252E"/>
                <w:sz w:val="15"/>
              </w:rPr>
              <w:t>勉強して／勉強した</w:t>
            </w:r>
          </w:p>
        </w:tc>
      </w:tr>
    </w:tbl>
    <w:p>
      <w:pPr>
        <w:pStyle w:val="Heading2"/>
        <w:keepNext/>
        <w:pageBreakBefore w:val="0"/>
        <w:spacing w:before="100" w:after="100"/>
      </w:pPr>
      <w:r>
        <w:t>第五部分 句子應用</w:t>
      </w:r>
    </w:p>
    <w:p>
      <w:pPr>
        <w:spacing w:after="0" w:line="240" w:lineRule="auto"/>
      </w:pPr>
      <w:r>
        <w:rPr>
          <w:rFonts w:ascii="Arial Unicode MS" w:hAnsi="Arial Unicode MS" w:eastAsia="Arial Unicode MS"/>
          <w:sz w:val="16"/>
        </w:rPr>
        <w:t>1. 起きます　2. 行きたい　3. 飲まない　4. 書かせる　5. 食べられる　6. 食べさせられる</w:t>
      </w:r>
    </w:p>
    <w:sectPr w:rsidR="00FC693F" w:rsidRPr="0006063C" w:rsidSect="00034616">
      <w:footerReference w:type="default" r:id="rId9"/>
      <w:pgSz w:w="11906" w:h="16838"/>
      <w:pgMar w:top="680" w:right="737" w:bottom="680" w:left="737" w:header="283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/>
        <w:color w:val="5C6B73"/>
        <w:sz w:val="16"/>
      </w:rPr>
      <w:t xml:space="preserve">日語動詞變化練習表  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 Unicode MS" w:hAnsi="Arial Unicode MS" w:eastAsia="Arial Unicode MS"/>
      <w:color w:val="1725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/>
      <w:contextualSpacing/>
      <w:jc w:val="center"/>
    </w:pPr>
    <w:rPr>
      <w:rFonts w:asciiTheme="majorHAnsi" w:eastAsiaTheme="majorEastAsia" w:hAnsiTheme="majorHAnsi" w:cstheme="majorBidi" w:ascii="Arial Unicode MS" w:hAnsi="Arial Unicode MS" w:eastAsia="Arial Unicode MS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日語動詞變化練習表</dc:title>
  <dc:subject>N5至N4 日語動詞變化練習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