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59423" w14:textId="05BB85CD" w:rsidR="00BD0CD9" w:rsidRDefault="002510B6" w:rsidP="002510B6">
      <w:pPr>
        <w:pStyle w:val="Title"/>
      </w:pPr>
      <w:r>
        <w:t>Selection Criteria for Educational Resources included in the Data Management Training Clearinghouse (DMTC)</w:t>
      </w:r>
    </w:p>
    <w:p w14:paraId="2406E7DB" w14:textId="31CEB901" w:rsidR="002510B6" w:rsidRDefault="00D85C5B" w:rsidP="002510B6">
      <w:pPr>
        <w:pStyle w:val="Heading2"/>
        <w:jc w:val="center"/>
      </w:pPr>
      <w:r>
        <w:t xml:space="preserve">Revised </w:t>
      </w:r>
      <w:r w:rsidR="002510B6">
        <w:t>8 November 2021</w:t>
      </w:r>
    </w:p>
    <w:p w14:paraId="211AC1DD" w14:textId="1A8C06F7" w:rsidR="002510B6" w:rsidRDefault="002510B6" w:rsidP="002510B6"/>
    <w:p w14:paraId="08F3F6BE" w14:textId="7CAF7516" w:rsidR="002510B6" w:rsidRDefault="002510B6" w:rsidP="002510B6">
      <w:pPr>
        <w:pStyle w:val="Heading2"/>
      </w:pPr>
      <w:r w:rsidRPr="00D85C5B">
        <w:rPr>
          <w:b/>
          <w:bCs/>
          <w:sz w:val="28"/>
          <w:szCs w:val="28"/>
        </w:rPr>
        <w:t>Definition:</w:t>
      </w:r>
      <w:r>
        <w:t xml:space="preserve"> </w:t>
      </w:r>
      <w:r w:rsidRPr="002510B6">
        <w:rPr>
          <w:b/>
          <w:bCs/>
        </w:rPr>
        <w:t>“</w:t>
      </w:r>
      <w:r w:rsidRPr="002510B6">
        <w:rPr>
          <w:b/>
          <w:bCs/>
          <w:i/>
          <w:iCs/>
        </w:rPr>
        <w:t>Educational resources</w:t>
      </w:r>
      <w:r w:rsidRPr="002510B6">
        <w:rPr>
          <w:b/>
          <w:bCs/>
        </w:rPr>
        <w:t xml:space="preserve">” </w:t>
      </w:r>
      <w:r w:rsidR="00335A98" w:rsidRPr="002510B6">
        <w:rPr>
          <w:b/>
          <w:bCs/>
        </w:rPr>
        <w:t>are</w:t>
      </w:r>
      <w:r w:rsidRPr="002510B6">
        <w:rPr>
          <w:b/>
          <w:bCs/>
        </w:rPr>
        <w:t xml:space="preserve"> downloadable or interactive digital assets that can be used as teaching, learning, and assess</w:t>
      </w:r>
      <w:r w:rsidR="00D85C5B">
        <w:rPr>
          <w:b/>
          <w:bCs/>
        </w:rPr>
        <w:t>ing</w:t>
      </w:r>
      <w:r w:rsidRPr="002510B6">
        <w:rPr>
          <w:b/>
          <w:bCs/>
        </w:rPr>
        <w:t xml:space="preserve"> resources as well as </w:t>
      </w:r>
      <w:r w:rsidR="00D85C5B">
        <w:rPr>
          <w:b/>
          <w:bCs/>
        </w:rPr>
        <w:t xml:space="preserve">those used </w:t>
      </w:r>
      <w:r w:rsidRPr="002510B6">
        <w:rPr>
          <w:b/>
          <w:bCs/>
        </w:rPr>
        <w:t>for educational research purposes.</w:t>
      </w:r>
      <w:r>
        <w:t xml:space="preserve">  </w:t>
      </w:r>
    </w:p>
    <w:p w14:paraId="6B31A6DF" w14:textId="158BDF45" w:rsidR="002510B6" w:rsidRDefault="002510B6" w:rsidP="002510B6">
      <w:r>
        <w:t xml:space="preserve">(Adapted from </w:t>
      </w:r>
      <w:hyperlink r:id="rId7" w:history="1">
        <w:r w:rsidRPr="00F83F71">
          <w:rPr>
            <w:rStyle w:val="Hyperlink"/>
          </w:rPr>
          <w:t>https://en.wikipedia.org/wiki/Open_educational_resources</w:t>
        </w:r>
      </w:hyperlink>
      <w:r>
        <w:t xml:space="preserve"> )</w:t>
      </w:r>
    </w:p>
    <w:p w14:paraId="3201047A" w14:textId="3017215B" w:rsidR="00D85C5B" w:rsidRDefault="00D85C5B" w:rsidP="002510B6">
      <w:r>
        <w:rPr>
          <w:b/>
          <w:bCs/>
          <w:u w:val="single"/>
        </w:rPr>
        <w:t xml:space="preserve">Scope of topics: </w:t>
      </w:r>
      <w:r>
        <w:t xml:space="preserve">  </w:t>
      </w:r>
    </w:p>
    <w:p w14:paraId="02676B24" w14:textId="23D9C65F" w:rsidR="00D85C5B" w:rsidRDefault="00432CEB" w:rsidP="002510B6">
      <w:r>
        <w:t>Within the broader term “e</w:t>
      </w:r>
      <w:r w:rsidR="00D85C5B">
        <w:t>ducational resources</w:t>
      </w:r>
      <w:r>
        <w:t xml:space="preserve">”, </w:t>
      </w:r>
      <w:r w:rsidR="002330FE">
        <w:t>the inventory of resources</w:t>
      </w:r>
      <w:r>
        <w:t xml:space="preserve"> included in the DMTC are </w:t>
      </w:r>
      <w:r w:rsidR="002330FE">
        <w:t xml:space="preserve">primarily comprised of </w:t>
      </w:r>
      <w:r w:rsidRPr="00432CEB">
        <w:rPr>
          <w:i/>
          <w:iCs/>
        </w:rPr>
        <w:t>teaching</w:t>
      </w:r>
      <w:r>
        <w:t xml:space="preserve"> and </w:t>
      </w:r>
      <w:r w:rsidRPr="00432CEB">
        <w:rPr>
          <w:i/>
          <w:iCs/>
        </w:rPr>
        <w:t>learning</w:t>
      </w:r>
      <w:r>
        <w:t xml:space="preserve"> resources given our target audiences of </w:t>
      </w:r>
      <w:r w:rsidR="002330FE">
        <w:t xml:space="preserve">research data </w:t>
      </w:r>
      <w:r>
        <w:t xml:space="preserve">“teachers” and “learners.”  </w:t>
      </w:r>
      <w:r w:rsidR="00D85C5B">
        <w:t xml:space="preserve"> </w:t>
      </w:r>
      <w:r>
        <w:t xml:space="preserve">Topics </w:t>
      </w:r>
      <w:r w:rsidR="00D85C5B">
        <w:t xml:space="preserve">to be included in the DMTC </w:t>
      </w:r>
      <w:r w:rsidR="00F7442F">
        <w:t xml:space="preserve">are limited to </w:t>
      </w:r>
      <w:r w:rsidR="002330FE">
        <w:t>those</w:t>
      </w:r>
      <w:r w:rsidR="00F7442F">
        <w:t xml:space="preserve"> on research and </w:t>
      </w:r>
      <w:r w:rsidR="00BD14EE">
        <w:t xml:space="preserve">data </w:t>
      </w:r>
      <w:r w:rsidR="00F7442F">
        <w:t>lifecycle</w:t>
      </w:r>
      <w:r w:rsidR="00BD14EE">
        <w:t>s</w:t>
      </w:r>
      <w:r w:rsidR="00F7442F">
        <w:t xml:space="preserve"> including research data management</w:t>
      </w:r>
      <w:r w:rsidR="00BD14EE">
        <w:t>;</w:t>
      </w:r>
      <w:r w:rsidR="00F7442F">
        <w:t xml:space="preserve"> building skills, competencies and capabilities </w:t>
      </w:r>
      <w:r w:rsidR="00BD14EE">
        <w:t xml:space="preserve">related to </w:t>
      </w:r>
      <w:r w:rsidR="00F7442F">
        <w:t>research</w:t>
      </w:r>
      <w:r w:rsidR="00BD14EE">
        <w:t xml:space="preserve"> </w:t>
      </w:r>
      <w:r w:rsidR="00F7442F">
        <w:t>data</w:t>
      </w:r>
      <w:r w:rsidR="00BD14EE">
        <w:t>;</w:t>
      </w:r>
      <w:r w:rsidR="00F7442F">
        <w:t xml:space="preserve"> research </w:t>
      </w:r>
      <w:r w:rsidR="00E86CDC">
        <w:t xml:space="preserve">data </w:t>
      </w:r>
      <w:r w:rsidR="00BD14EE">
        <w:t>sharing</w:t>
      </w:r>
      <w:r w:rsidR="0091152C">
        <w:t xml:space="preserve"> and reuse where appropriate</w:t>
      </w:r>
      <w:r w:rsidR="00BD14EE">
        <w:t xml:space="preserve">; and best practices for creating and managing high quality research data.  The primary </w:t>
      </w:r>
      <w:r w:rsidR="0091152C">
        <w:t xml:space="preserve">subject domains for the educational topics are </w:t>
      </w:r>
      <w:r w:rsidR="00E86CDC">
        <w:t xml:space="preserve">those </w:t>
      </w:r>
      <w:r w:rsidR="0091152C">
        <w:t xml:space="preserve">in science, technical, engineering, and medicine (STEM), </w:t>
      </w:r>
      <w:r w:rsidR="00E86CDC">
        <w:t xml:space="preserve">social science, </w:t>
      </w:r>
      <w:r w:rsidR="0091152C">
        <w:t xml:space="preserve">education and training, and arts and humanities.  Other research topics may be included if the primary focus of the educational resources is upon teaching research data skills. </w:t>
      </w:r>
    </w:p>
    <w:p w14:paraId="26FB4DE3" w14:textId="47FDD638" w:rsidR="008200BA" w:rsidRDefault="008200BA" w:rsidP="002510B6">
      <w:pPr>
        <w:rPr>
          <w:b/>
          <w:bCs/>
        </w:rPr>
      </w:pPr>
      <w:r>
        <w:rPr>
          <w:b/>
          <w:bCs/>
          <w:u w:val="single"/>
        </w:rPr>
        <w:t xml:space="preserve">Specific criteria to be considered beyond topic: </w:t>
      </w:r>
      <w:r>
        <w:rPr>
          <w:b/>
          <w:bCs/>
        </w:rPr>
        <w:t xml:space="preserve"> 1) Learning </w:t>
      </w:r>
      <w:r w:rsidR="00F300BC">
        <w:rPr>
          <w:b/>
          <w:bCs/>
        </w:rPr>
        <w:t>resource type; 2) Format (media type); 3) Target audiences; 4) Subject discipline covered; 5) Uniqueness of topic coverage or method of instruction.</w:t>
      </w:r>
    </w:p>
    <w:p w14:paraId="700FF968" w14:textId="749BE33B" w:rsidR="00F300BC" w:rsidRPr="002330FE" w:rsidRDefault="00390A3F" w:rsidP="00390A3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  <w:u w:val="single"/>
        </w:rPr>
        <w:t xml:space="preserve">Learning resource type: </w:t>
      </w:r>
      <w:r w:rsidR="00432CEB">
        <w:t>(category for what kind of learning resource is being described)</w:t>
      </w:r>
    </w:p>
    <w:p w14:paraId="1B693B88" w14:textId="7803CD88" w:rsidR="002330FE" w:rsidRDefault="00AC78B7" w:rsidP="002330F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Most used:</w:t>
      </w:r>
    </w:p>
    <w:p w14:paraId="2FD10CA7" w14:textId="77777777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t>Course</w:t>
      </w:r>
      <w:r>
        <w:t xml:space="preserve"> (series of units and lessons used to teach the skills and knowledge; often associated with a broader curriculum</w:t>
      </w:r>
    </w:p>
    <w:p w14:paraId="01DF33F8" w14:textId="77777777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t>Unit</w:t>
      </w:r>
      <w:r>
        <w:t xml:space="preserve"> (long-range plan of instruction on a particular concept containing multiple, related lessons)</w:t>
      </w:r>
    </w:p>
    <w:p w14:paraId="6AD967A4" w14:textId="69E21D45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t>Lesson</w:t>
      </w:r>
      <w:r>
        <w:t xml:space="preserve"> (detailed description of an element of instruction in a course that could be contained in a unit of one or more lessons; has been used for presentation slides on a topic)</w:t>
      </w:r>
    </w:p>
    <w:p w14:paraId="3169E169" w14:textId="796CB959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t>Demonstration / Simulation</w:t>
      </w:r>
      <w:r>
        <w:t xml:space="preserve"> (imitation or modeling of a real-world process; has been used for tutorials on tools used or processing done within the research data lifecycle)</w:t>
      </w:r>
    </w:p>
    <w:p w14:paraId="45F95A07" w14:textId="5B0F8E9B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t>Learning Activity</w:t>
      </w:r>
      <w:r>
        <w:t xml:space="preserve"> (guided or unguided activity engaged in by a learner to acquire skills, concepts or knowledge that may or may not be defined by a lesson; has been used for data “recipes”, data exercises or other hands-on activities)</w:t>
      </w:r>
    </w:p>
    <w:p w14:paraId="09FF9311" w14:textId="408B35F5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lastRenderedPageBreak/>
        <w:t>Educator Curriculum Guide</w:t>
      </w:r>
      <w:r>
        <w:t xml:space="preserve"> (provides definition of what concepts should be taught and /or how a concept should be taught effectively; has been used for course syllabi)</w:t>
      </w:r>
    </w:p>
    <w:p w14:paraId="37A1D5BD" w14:textId="118C741C" w:rsidR="00AC78B7" w:rsidRDefault="00AC78B7" w:rsidP="00AC78B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216D2A">
        <w:rPr>
          <w:b/>
          <w:bCs/>
        </w:rPr>
        <w:t>Images / Visuals</w:t>
      </w:r>
      <w:r>
        <w:t xml:space="preserve"> (standalone representation of a concept used to instruct visually including, but not limited to, pictures, graphics, diagrams, figures, illustrations, charts, and maps; has been used for posters and one page reference guides)</w:t>
      </w:r>
    </w:p>
    <w:p w14:paraId="06ACE0CA" w14:textId="0A234524" w:rsidR="00AC78B7" w:rsidRDefault="00AC78B7" w:rsidP="002330FE">
      <w:pPr>
        <w:ind w:left="360"/>
        <w:rPr>
          <w:b/>
          <w:bCs/>
          <w:u w:val="single"/>
        </w:rPr>
      </w:pPr>
    </w:p>
    <w:p w14:paraId="06203027" w14:textId="66C7649E" w:rsidR="005F2C27" w:rsidRDefault="008A2158" w:rsidP="002330FE">
      <w:pPr>
        <w:ind w:left="360"/>
        <w:rPr>
          <w:b/>
          <w:bCs/>
          <w:u w:val="single"/>
        </w:rPr>
      </w:pPr>
      <w:r>
        <w:rPr>
          <w:b/>
          <w:bCs/>
          <w:u w:val="single"/>
        </w:rPr>
        <w:t>Available, but rarely used:</w:t>
      </w:r>
    </w:p>
    <w:p w14:paraId="0A6BDEFD" w14:textId="4CCF8142" w:rsidR="008A2158" w:rsidRDefault="008A2158" w:rsidP="008A2158">
      <w:pPr>
        <w:pStyle w:val="ListParagraph"/>
        <w:numPr>
          <w:ilvl w:val="0"/>
          <w:numId w:val="3"/>
        </w:numPr>
      </w:pPr>
      <w:r w:rsidRPr="00216D2A">
        <w:rPr>
          <w:b/>
          <w:bCs/>
        </w:rPr>
        <w:t xml:space="preserve">Text </w:t>
      </w:r>
      <w:r>
        <w:t>(body of a printed work, to include reading passages; only used if part of a collection of digital assets</w:t>
      </w:r>
      <w:r w:rsidR="004A71B1">
        <w:t>.  [S</w:t>
      </w:r>
      <w:r>
        <w:t>ee Format/Media Type below for definition of “collection.”</w:t>
      </w:r>
      <w:r w:rsidR="004A71B1">
        <w:t>]</w:t>
      </w:r>
      <w:r>
        <w:t xml:space="preserve">  Published papers, downloadable textbooks and static web pages are generally out of scope)</w:t>
      </w:r>
    </w:p>
    <w:p w14:paraId="4EFF45AF" w14:textId="75160AE7" w:rsidR="008A2158" w:rsidRDefault="008A2158" w:rsidP="008A2158">
      <w:pPr>
        <w:pStyle w:val="ListParagraph"/>
        <w:numPr>
          <w:ilvl w:val="0"/>
          <w:numId w:val="3"/>
        </w:numPr>
      </w:pPr>
      <w:r w:rsidRPr="00216D2A">
        <w:rPr>
          <w:b/>
          <w:bCs/>
        </w:rPr>
        <w:t>Textbook</w:t>
      </w:r>
      <w:r>
        <w:t xml:space="preserve"> – (digital book used as a standard source of information on a particular </w:t>
      </w:r>
      <w:r w:rsidR="004A71B1">
        <w:t>subject,</w:t>
      </w:r>
      <w:r w:rsidR="00216D2A">
        <w:t xml:space="preserve"> generally out of scope)</w:t>
      </w:r>
    </w:p>
    <w:p w14:paraId="04C86068" w14:textId="38AE410E" w:rsidR="00216D2A" w:rsidRDefault="00216D2A" w:rsidP="008A2158">
      <w:pPr>
        <w:pStyle w:val="ListParagraph"/>
        <w:numPr>
          <w:ilvl w:val="0"/>
          <w:numId w:val="3"/>
        </w:numPr>
      </w:pPr>
      <w:r w:rsidRPr="00216D2A">
        <w:rPr>
          <w:b/>
          <w:bCs/>
        </w:rPr>
        <w:t>Primary source</w:t>
      </w:r>
      <w:r>
        <w:t xml:space="preserve"> – (artifact, document, recording or other source of information created at the time under study and provides first-hand testimony or direct evidence concerning a topic under investigation)</w:t>
      </w:r>
    </w:p>
    <w:p w14:paraId="27E89CC9" w14:textId="77777777" w:rsidR="00E8579B" w:rsidRDefault="00216D2A" w:rsidP="008A2158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Assessment </w:t>
      </w:r>
      <w:r>
        <w:t xml:space="preserve">(evaluation, measurement and documentation of the skills or knowledge gained from </w:t>
      </w:r>
      <w:r w:rsidR="00E8579B">
        <w:t>instruction) the</w:t>
      </w:r>
      <w:r>
        <w:t xml:space="preserve"> types of assessment could include</w:t>
      </w:r>
      <w:r w:rsidR="00E8579B">
        <w:t>:</w:t>
      </w:r>
    </w:p>
    <w:p w14:paraId="7619ACD7" w14:textId="2DD79A37" w:rsidR="00E8579B" w:rsidRDefault="00E8579B" w:rsidP="00E8579B">
      <w:pPr>
        <w:pStyle w:val="ListParagraph"/>
        <w:numPr>
          <w:ilvl w:val="1"/>
          <w:numId w:val="3"/>
        </w:numPr>
      </w:pPr>
      <w:r>
        <w:t>A</w:t>
      </w:r>
      <w:r w:rsidR="00216D2A">
        <w:t>lternate assessment</w:t>
      </w:r>
      <w:r>
        <w:t xml:space="preserve"> – used to evaluate he performance of students who are unable to participate in general assessment even with accommodations</w:t>
      </w:r>
    </w:p>
    <w:p w14:paraId="43F852C4" w14:textId="434404E0" w:rsidR="00E8579B" w:rsidRDefault="00E8579B" w:rsidP="00E8579B">
      <w:pPr>
        <w:pStyle w:val="ListParagraph"/>
        <w:numPr>
          <w:ilvl w:val="1"/>
          <w:numId w:val="3"/>
        </w:numPr>
      </w:pPr>
      <w:r>
        <w:t>Assessment item – specific part of an assessment that, when answered by a learner, is used to determine whether a learning object has been achieved</w:t>
      </w:r>
    </w:p>
    <w:p w14:paraId="1002752E" w14:textId="237BD780" w:rsidR="00216D2A" w:rsidRDefault="00E8579B" w:rsidP="00E8579B">
      <w:pPr>
        <w:pStyle w:val="ListParagraph"/>
        <w:numPr>
          <w:ilvl w:val="1"/>
          <w:numId w:val="3"/>
        </w:numPr>
      </w:pPr>
      <w:r>
        <w:t xml:space="preserve">Formative assessment – process used during instruction to adjust ongoing teaching and learning activities and to improve students’ achievements of intended instructional outcomes </w:t>
      </w:r>
    </w:p>
    <w:p w14:paraId="6D16B989" w14:textId="655701B2" w:rsidR="00E8579B" w:rsidRDefault="00E8579B" w:rsidP="00E8579B">
      <w:pPr>
        <w:pStyle w:val="ListParagraph"/>
        <w:numPr>
          <w:ilvl w:val="1"/>
          <w:numId w:val="3"/>
        </w:numPr>
      </w:pPr>
      <w:r>
        <w:t>Interim / Summative assessment – instrument used to evaluate student learning at the end of an instructional unit by comparing it against come standard or benchmark.</w:t>
      </w:r>
    </w:p>
    <w:p w14:paraId="55E8E41A" w14:textId="6106FFF9" w:rsidR="004A71B1" w:rsidRDefault="004A71B1" w:rsidP="00E8579B">
      <w:pPr>
        <w:pStyle w:val="ListParagraph"/>
        <w:numPr>
          <w:ilvl w:val="1"/>
          <w:numId w:val="3"/>
        </w:numPr>
      </w:pPr>
      <w:r>
        <w:t xml:space="preserve">Self-assessment – in which a user gathers information about and reflects on their own knowledge, skills, learning or attitudes </w:t>
      </w:r>
    </w:p>
    <w:p w14:paraId="4FACBBAE" w14:textId="77777777" w:rsidR="00FE3693" w:rsidRPr="00FE3693" w:rsidRDefault="00FE3693" w:rsidP="00FE3693">
      <w:pPr>
        <w:pStyle w:val="ListParagraph"/>
        <w:ind w:left="1440"/>
        <w:rPr>
          <w:b/>
          <w:bCs/>
          <w:u w:val="single"/>
        </w:rPr>
      </w:pPr>
    </w:p>
    <w:p w14:paraId="78E6BEC6" w14:textId="298C99B5" w:rsidR="00251477" w:rsidRPr="00251477" w:rsidRDefault="00FE3693" w:rsidP="00FE3693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b/>
          <w:bCs/>
          <w:u w:val="single"/>
        </w:rPr>
        <w:t xml:space="preserve">Format / Media Type:  </w:t>
      </w:r>
      <w:r w:rsidR="001106A2">
        <w:t>(physical medium of the learning resource)</w:t>
      </w:r>
    </w:p>
    <w:p w14:paraId="55021CC3" w14:textId="3E4B1942" w:rsidR="00251477" w:rsidRDefault="00251477" w:rsidP="00251477">
      <w:pPr>
        <w:pStyle w:val="ListParagraph"/>
        <w:ind w:left="360"/>
        <w:rPr>
          <w:b/>
          <w:bCs/>
          <w:u w:val="single"/>
        </w:rPr>
      </w:pPr>
    </w:p>
    <w:p w14:paraId="6214C9AC" w14:textId="350207D5" w:rsidR="00251477" w:rsidRDefault="00251477" w:rsidP="00251477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Most used:</w:t>
      </w:r>
    </w:p>
    <w:p w14:paraId="29F3352C" w14:textId="77777777" w:rsidR="001106A2" w:rsidRPr="00251477" w:rsidRDefault="001106A2" w:rsidP="00251477">
      <w:pPr>
        <w:pStyle w:val="ListParagraph"/>
      </w:pPr>
    </w:p>
    <w:p w14:paraId="70C9B615" w14:textId="2F4464A9" w:rsidR="00FE3693" w:rsidRDefault="001106A2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Collection </w:t>
      </w:r>
      <w:r>
        <w:t>(group of set of items that comprise a single learning resource, e.g., downloadable slides from a presentation, plus a PDF version of the slide presentation, an audio file of the presentation, and a textual representation of the oral transcription of the presentation)</w:t>
      </w:r>
    </w:p>
    <w:p w14:paraId="39A125D5" w14:textId="77777777" w:rsidR="001106A2" w:rsidRDefault="001106A2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Event </w:t>
      </w:r>
      <w:r w:rsidRPr="001106A2">
        <w:t xml:space="preserve">(time-based happening that is portrayed or covered by the learning resource, e.g., a </w:t>
      </w:r>
      <w:r>
        <w:t xml:space="preserve">recorded </w:t>
      </w:r>
      <w:r w:rsidRPr="001106A2">
        <w:t>webinar</w:t>
      </w:r>
      <w:r>
        <w:t>)</w:t>
      </w:r>
    </w:p>
    <w:p w14:paraId="40B651FF" w14:textId="77777777" w:rsidR="001106A2" w:rsidRDefault="001106A2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>Dataset</w:t>
      </w:r>
      <w:r>
        <w:t xml:space="preserve"> (collection of information organized in logical record and block structures for use by a computer)</w:t>
      </w:r>
    </w:p>
    <w:p w14:paraId="6DD6710C" w14:textId="6496CF51" w:rsidR="001106A2" w:rsidRPr="00F15342" w:rsidRDefault="00F15342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Interactive Resource </w:t>
      </w:r>
      <w:r>
        <w:t xml:space="preserve">(requires a user to </w:t>
      </w:r>
      <w:proofErr w:type="gramStart"/>
      <w:r>
        <w:t>take action</w:t>
      </w:r>
      <w:proofErr w:type="gramEnd"/>
      <w:r>
        <w:t xml:space="preserve"> or make a request in order for the content to be understood, executed or experienced)</w:t>
      </w:r>
      <w:r w:rsidR="001106A2">
        <w:rPr>
          <w:b/>
          <w:bCs/>
        </w:rPr>
        <w:t xml:space="preserve"> </w:t>
      </w:r>
    </w:p>
    <w:p w14:paraId="089C4ACB" w14:textId="4028C5B2" w:rsidR="00F15342" w:rsidRDefault="00F15342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Moving Image</w:t>
      </w:r>
      <w:r>
        <w:t xml:space="preserve"> (explains a concept or tells a story using sound plus a sequence of visual images that give the illusion of continuous movement, e.g., a movie)</w:t>
      </w:r>
    </w:p>
    <w:p w14:paraId="773501FF" w14:textId="28BFCCF4" w:rsidR="00F15342" w:rsidRDefault="00F15342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Presentation </w:t>
      </w:r>
      <w:r>
        <w:t xml:space="preserve">(representation of the </w:t>
      </w:r>
      <w:proofErr w:type="gramStart"/>
      <w:r>
        <w:t>particular way</w:t>
      </w:r>
      <w:proofErr w:type="gramEnd"/>
      <w:r>
        <w:t xml:space="preserve"> in which an author shows, describes or explains one or more concepts, e.g., a set of </w:t>
      </w:r>
      <w:proofErr w:type="spellStart"/>
      <w:r>
        <w:t>Powerpoint</w:t>
      </w:r>
      <w:proofErr w:type="spellEnd"/>
      <w:r>
        <w:t xml:space="preserve"> slides</w:t>
      </w:r>
      <w:r w:rsidR="0021733D">
        <w:t>)</w:t>
      </w:r>
    </w:p>
    <w:p w14:paraId="612669EE" w14:textId="2D264C32" w:rsidR="0021733D" w:rsidRDefault="0021733D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Software </w:t>
      </w:r>
      <w:r>
        <w:t>(programs used to direct the operation of a computer and related devices)</w:t>
      </w:r>
    </w:p>
    <w:p w14:paraId="3145D702" w14:textId="5AF6A56A" w:rsidR="0021733D" w:rsidRDefault="0021733D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Sound </w:t>
      </w:r>
      <w:r>
        <w:t>(an explanation of a concept or story using audio means within the acoustic range available to humans, and differentiated from audio visual resources, i.e., audio only)</w:t>
      </w:r>
    </w:p>
    <w:p w14:paraId="4334CA0B" w14:textId="6146B025" w:rsidR="0021733D" w:rsidRDefault="0021733D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Static Image </w:t>
      </w:r>
      <w:r>
        <w:t>(a single visual representation that does not change, e.g., a poster explicating a concept)</w:t>
      </w:r>
    </w:p>
    <w:p w14:paraId="6FE05F05" w14:textId="1FA4D8E7" w:rsidR="0021733D" w:rsidRDefault="0021733D" w:rsidP="001106A2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Text </w:t>
      </w:r>
      <w:r>
        <w:t>(an explanation of a concept or story using human readable characters formed into words, usually distinguished from graphical images)</w:t>
      </w:r>
    </w:p>
    <w:p w14:paraId="1221DF33" w14:textId="075CCF1A" w:rsidR="0021733D" w:rsidRDefault="0021733D" w:rsidP="0021733D">
      <w:pPr>
        <w:rPr>
          <w:b/>
          <w:bCs/>
          <w:u w:val="single"/>
        </w:rPr>
      </w:pPr>
      <w:r>
        <w:rPr>
          <w:b/>
          <w:bCs/>
          <w:u w:val="single"/>
        </w:rPr>
        <w:t>Available, but rarely used:</w:t>
      </w:r>
    </w:p>
    <w:p w14:paraId="0E81D763" w14:textId="51B6063A" w:rsidR="0021733D" w:rsidRPr="0021733D" w:rsidRDefault="0021733D" w:rsidP="0021733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 xml:space="preserve">Animation </w:t>
      </w:r>
      <w:r>
        <w:t>(a method of making a series of drawings, computer graphics or photographs that appear to move)</w:t>
      </w:r>
    </w:p>
    <w:p w14:paraId="4F19BF6D" w14:textId="2A82E965" w:rsidR="0021733D" w:rsidRPr="0021733D" w:rsidRDefault="0021733D" w:rsidP="0021733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 xml:space="preserve">Artifact </w:t>
      </w:r>
      <w:r>
        <w:t>(physical object produced at some point in the past that attests to a given set of practices and ways of viewing a concept)</w:t>
      </w:r>
    </w:p>
    <w:p w14:paraId="7B409E74" w14:textId="225D0ADF" w:rsidR="0021733D" w:rsidRPr="0084549C" w:rsidRDefault="0084549C" w:rsidP="0021733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 xml:space="preserve">Service </w:t>
      </w:r>
      <w:r>
        <w:t>(self-contained unit of functionality that enables operations or capabilities, e.g., providing searching for instructional resources on data skills)</w:t>
      </w:r>
    </w:p>
    <w:p w14:paraId="6676E2A7" w14:textId="2EE715E2" w:rsidR="0084549C" w:rsidRPr="002A2ACC" w:rsidRDefault="0084549C" w:rsidP="0021733D">
      <w:pPr>
        <w:pStyle w:val="ListParagraph"/>
        <w:numPr>
          <w:ilvl w:val="0"/>
          <w:numId w:val="5"/>
        </w:numPr>
        <w:rPr>
          <w:b/>
          <w:bCs/>
          <w:u w:val="single"/>
        </w:rPr>
      </w:pPr>
      <w:r>
        <w:rPr>
          <w:b/>
          <w:bCs/>
        </w:rPr>
        <w:t xml:space="preserve">Physical Object </w:t>
      </w:r>
      <w:r>
        <w:t>(entity that has a physical presence in the present, as opposed to an artifact of the past)</w:t>
      </w:r>
    </w:p>
    <w:p w14:paraId="723F5A5D" w14:textId="77777777" w:rsidR="002A2ACC" w:rsidRPr="002A2ACC" w:rsidRDefault="002A2ACC" w:rsidP="002A2ACC">
      <w:pPr>
        <w:pStyle w:val="ListParagraph"/>
        <w:rPr>
          <w:b/>
          <w:bCs/>
          <w:u w:val="single"/>
        </w:rPr>
      </w:pPr>
    </w:p>
    <w:p w14:paraId="3F88023B" w14:textId="7B7C7660" w:rsidR="002A2ACC" w:rsidRPr="00A13FDB" w:rsidRDefault="002A2ACC" w:rsidP="002A2AC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 Target Audience(s): </w:t>
      </w:r>
      <w:r>
        <w:t>(</w:t>
      </w:r>
      <w:r w:rsidR="00A13FDB">
        <w:t>a class of agents for whom the resource is intended or useful)</w:t>
      </w:r>
    </w:p>
    <w:p w14:paraId="70D63B01" w14:textId="77777777" w:rsidR="00A13FDB" w:rsidRPr="00A13FDB" w:rsidRDefault="00A13FDB" w:rsidP="00A13FDB">
      <w:pPr>
        <w:pStyle w:val="ListParagraph"/>
        <w:ind w:left="360"/>
        <w:rPr>
          <w:b/>
          <w:bCs/>
          <w:u w:val="single"/>
        </w:rPr>
      </w:pPr>
    </w:p>
    <w:p w14:paraId="2F23989E" w14:textId="3AC59D0C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Research Faculty</w:t>
      </w:r>
      <w:r w:rsidR="00960B25">
        <w:rPr>
          <w:b/>
          <w:bCs/>
        </w:rPr>
        <w:t xml:space="preserve"> </w:t>
      </w:r>
      <w:r w:rsidR="00960B25">
        <w:t>(professor in a college or university who is free to devote their entire time to research, and who has achieved faculty status at any level)</w:t>
      </w:r>
    </w:p>
    <w:p w14:paraId="24314693" w14:textId="4EF4044D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Research Scientist</w:t>
      </w:r>
      <w:r w:rsidR="00960B25">
        <w:rPr>
          <w:b/>
          <w:bCs/>
        </w:rPr>
        <w:t xml:space="preserve"> </w:t>
      </w:r>
      <w:r w:rsidR="00960B25">
        <w:t>(a person learned in science of any discipline who is conducting research:  a scientific investigator)</w:t>
      </w:r>
    </w:p>
    <w:p w14:paraId="05A691AC" w14:textId="24C61946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Mid-career Research Scientist</w:t>
      </w:r>
      <w:r w:rsidR="00DA6016">
        <w:rPr>
          <w:b/>
          <w:bCs/>
        </w:rPr>
        <w:t xml:space="preserve"> </w:t>
      </w:r>
      <w:r w:rsidR="00DA6016">
        <w:t>(a research scientist with a doctoral degree who has been conducting research more than 5 years after graduate school)</w:t>
      </w:r>
    </w:p>
    <w:p w14:paraId="01ACF8B9" w14:textId="6072C281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Early-career Research Scientist</w:t>
      </w:r>
      <w:r w:rsidR="00960B25">
        <w:t xml:space="preserve"> (a research scientist </w:t>
      </w:r>
      <w:r w:rsidR="00DA6016">
        <w:t xml:space="preserve">with a doctoral degree </w:t>
      </w:r>
      <w:r w:rsidR="00960B25">
        <w:t xml:space="preserve">who is from 0 – 5 years out of graduate school including </w:t>
      </w:r>
      <w:r w:rsidR="00DA6016">
        <w:t>post-doctoral researchers)</w:t>
      </w:r>
    </w:p>
    <w:p w14:paraId="7EB4C4E5" w14:textId="4D9216B6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Graduate Student</w:t>
      </w:r>
      <w:r w:rsidR="00DA6016">
        <w:rPr>
          <w:b/>
          <w:bCs/>
        </w:rPr>
        <w:t xml:space="preserve"> </w:t>
      </w:r>
      <w:r w:rsidR="007D5DF3">
        <w:t>(a student in a graduate program at a college or university, usually having already received a baccalaureate from a college or university)</w:t>
      </w:r>
    </w:p>
    <w:p w14:paraId="356EF21B" w14:textId="08036EF9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Undergraduate Student</w:t>
      </w:r>
      <w:r w:rsidR="007D5DF3">
        <w:rPr>
          <w:b/>
          <w:bCs/>
        </w:rPr>
        <w:t xml:space="preserve"> </w:t>
      </w:r>
      <w:r w:rsidR="007D5DF3">
        <w:t>(</w:t>
      </w:r>
      <w:r w:rsidR="008B1965">
        <w:t xml:space="preserve">a </w:t>
      </w:r>
      <w:r w:rsidR="007D5DF3">
        <w:t xml:space="preserve">student at a college or university </w:t>
      </w:r>
      <w:r w:rsidR="00C974DC">
        <w:t xml:space="preserve">taking courses who has not received a first and especially a bachelor’s degree) </w:t>
      </w:r>
    </w:p>
    <w:p w14:paraId="2255878B" w14:textId="2E9FE5C0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High School Student</w:t>
      </w:r>
      <w:r w:rsidR="00C974DC">
        <w:rPr>
          <w:b/>
          <w:bCs/>
        </w:rPr>
        <w:t xml:space="preserve"> </w:t>
      </w:r>
      <w:r w:rsidR="00C974DC">
        <w:t>(a student at a school especially in the U.S. in grades 9 – 12 or 10 – 12)</w:t>
      </w:r>
    </w:p>
    <w:p w14:paraId="363EEA56" w14:textId="28DA18EB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Middle School Student</w:t>
      </w:r>
      <w:r w:rsidR="00C974DC">
        <w:rPr>
          <w:b/>
          <w:bCs/>
        </w:rPr>
        <w:t xml:space="preserve"> </w:t>
      </w:r>
      <w:r w:rsidR="00C974DC">
        <w:t>(a student at a school especially in the U.S. in grades 5 – 8 or 6 – 8)</w:t>
      </w:r>
    </w:p>
    <w:p w14:paraId="7F2B8FE3" w14:textId="05AFD7D6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Data Supporter</w:t>
      </w:r>
      <w:r w:rsidR="00C974DC">
        <w:rPr>
          <w:b/>
          <w:bCs/>
        </w:rPr>
        <w:t xml:space="preserve"> </w:t>
      </w:r>
      <w:r w:rsidR="00C974DC">
        <w:t>(</w:t>
      </w:r>
      <w:r w:rsidR="008B1965">
        <w:t xml:space="preserve">a person providing technical assistance to another person, group or organization creating, </w:t>
      </w:r>
      <w:proofErr w:type="gramStart"/>
      <w:r w:rsidR="008B1965">
        <w:t>managing</w:t>
      </w:r>
      <w:proofErr w:type="gramEnd"/>
      <w:r w:rsidR="008B1965">
        <w:t xml:space="preserve"> or storing data)  </w:t>
      </w:r>
    </w:p>
    <w:p w14:paraId="294C8A8C" w14:textId="73FDAC91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Data Manager</w:t>
      </w:r>
      <w:r w:rsidR="008B1965">
        <w:rPr>
          <w:b/>
          <w:bCs/>
        </w:rPr>
        <w:t xml:space="preserve"> </w:t>
      </w:r>
      <w:r w:rsidR="008B1965">
        <w:t>(a person responsible for ongoing management of research data, often in a repository or data service center)</w:t>
      </w:r>
    </w:p>
    <w:p w14:paraId="5AB88B6F" w14:textId="12AA17E7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lastRenderedPageBreak/>
        <w:t>Librarian</w:t>
      </w:r>
      <w:r w:rsidR="008B1965">
        <w:t xml:space="preserve"> (a </w:t>
      </w:r>
      <w:r w:rsidR="00A2179D">
        <w:t>specialist</w:t>
      </w:r>
      <w:r w:rsidR="008B1965">
        <w:t xml:space="preserve"> </w:t>
      </w:r>
      <w:proofErr w:type="gramStart"/>
      <w:r w:rsidR="008B1965">
        <w:t xml:space="preserve">providing assistance </w:t>
      </w:r>
      <w:r w:rsidR="00A2179D">
        <w:t>to</w:t>
      </w:r>
      <w:proofErr w:type="gramEnd"/>
      <w:r w:rsidR="00A2179D">
        <w:t xml:space="preserve"> researchers and other data supporters, managers, and professionals in making data and metadata available and accessible for use and reuse) </w:t>
      </w:r>
    </w:p>
    <w:p w14:paraId="1894B0FF" w14:textId="5D9EAC2A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Educator</w:t>
      </w:r>
      <w:r w:rsidR="00A2179D">
        <w:rPr>
          <w:b/>
          <w:bCs/>
        </w:rPr>
        <w:t xml:space="preserve"> </w:t>
      </w:r>
      <w:r w:rsidR="00A2179D">
        <w:t>(a person who is skilled in teaching)</w:t>
      </w:r>
    </w:p>
    <w:p w14:paraId="2BACD9D2" w14:textId="54A16625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Repository Manager</w:t>
      </w:r>
      <w:r w:rsidR="00A2179D">
        <w:rPr>
          <w:b/>
          <w:bCs/>
        </w:rPr>
        <w:t xml:space="preserve"> </w:t>
      </w:r>
      <w:r w:rsidR="00A2179D">
        <w:t xml:space="preserve">(a person who </w:t>
      </w:r>
      <w:r w:rsidR="00AB0D0A">
        <w:t>exercises executive, administrative and supervisory direction of a place storing data)</w:t>
      </w:r>
    </w:p>
    <w:p w14:paraId="5B39A8C4" w14:textId="5739F7A2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Data Professional</w:t>
      </w:r>
      <w:r w:rsidR="00AB0D0A">
        <w:rPr>
          <w:b/>
          <w:bCs/>
        </w:rPr>
        <w:t xml:space="preserve"> </w:t>
      </w:r>
      <w:r w:rsidR="00AB0D0A">
        <w:t xml:space="preserve">(a person providing specialized services related to data who has acquired special education, training or skill in data science, data management, data stewardship and/or data curation) </w:t>
      </w:r>
    </w:p>
    <w:p w14:paraId="4E27BBB8" w14:textId="3EAAA5B7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Data Policymaker</w:t>
      </w:r>
      <w:r w:rsidR="00AF0DEB">
        <w:rPr>
          <w:b/>
          <w:bCs/>
        </w:rPr>
        <w:t xml:space="preserve"> </w:t>
      </w:r>
      <w:r w:rsidR="00AF0DEB">
        <w:t>(a person responsible for making or implementing a high-level overall plan embracing the general goals and acceptable procedures related to research data)</w:t>
      </w:r>
    </w:p>
    <w:p w14:paraId="669B097A" w14:textId="1D34840F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Publisher</w:t>
      </w:r>
      <w:r w:rsidR="00AF0DEB">
        <w:rPr>
          <w:b/>
          <w:bCs/>
        </w:rPr>
        <w:t xml:space="preserve"> </w:t>
      </w:r>
      <w:r w:rsidR="00AF0DEB">
        <w:t xml:space="preserve">(a person or organization responsible for producing, </w:t>
      </w:r>
      <w:proofErr w:type="gramStart"/>
      <w:r w:rsidR="00AF0DEB">
        <w:t>releasing</w:t>
      </w:r>
      <w:proofErr w:type="gramEnd"/>
      <w:r w:rsidR="00AF0DEB">
        <w:t xml:space="preserve"> and disseminating data products)</w:t>
      </w:r>
    </w:p>
    <w:p w14:paraId="2C1E3416" w14:textId="5D93BBD9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Technology Expert Group</w:t>
      </w:r>
      <w:r w:rsidR="00335A98">
        <w:rPr>
          <w:b/>
          <w:bCs/>
        </w:rPr>
        <w:t xml:space="preserve"> </w:t>
      </w:r>
      <w:r w:rsidR="00335A98">
        <w:t>(a group of people working together to identify, implement and disseminate the specialized aspects of a particular field of endeavor)</w:t>
      </w:r>
    </w:p>
    <w:p w14:paraId="20E9B5AE" w14:textId="4C5996E3" w:rsidR="00A13FDB" w:rsidRPr="00A13FDB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Funding Organization</w:t>
      </w:r>
      <w:r w:rsidR="00335A98">
        <w:rPr>
          <w:b/>
          <w:bCs/>
        </w:rPr>
        <w:t xml:space="preserve"> </w:t>
      </w:r>
      <w:r w:rsidR="00335A98">
        <w:t>(an organization making available and administering a special fund)</w:t>
      </w:r>
    </w:p>
    <w:p w14:paraId="2DCBA0FF" w14:textId="77F22CCC" w:rsidR="00A13FDB" w:rsidRPr="00335A98" w:rsidRDefault="00A13FDB" w:rsidP="00A13FD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rPr>
          <w:b/>
          <w:bCs/>
        </w:rPr>
        <w:t>Citizen Scientist</w:t>
      </w:r>
      <w:r w:rsidR="00335A98">
        <w:rPr>
          <w:b/>
          <w:bCs/>
        </w:rPr>
        <w:t xml:space="preserve"> </w:t>
      </w:r>
      <w:r w:rsidR="00335A98" w:rsidRPr="00335A98">
        <w:t>(</w:t>
      </w:r>
      <w:r w:rsidR="00335A98" w:rsidRPr="00335A98">
        <w:rPr>
          <w:rFonts w:cstheme="minorHAnsi"/>
          <w:color w:val="202124"/>
          <w:shd w:val="clear" w:color="auto" w:fill="FFFFFF"/>
        </w:rPr>
        <w:t xml:space="preserve">a member of the </w:t>
      </w:r>
      <w:proofErr w:type="gramStart"/>
      <w:r w:rsidR="00335A98" w:rsidRPr="00335A98">
        <w:rPr>
          <w:rFonts w:cstheme="minorHAnsi"/>
          <w:color w:val="202124"/>
          <w:shd w:val="clear" w:color="auto" w:fill="FFFFFF"/>
        </w:rPr>
        <w:t>general public</w:t>
      </w:r>
      <w:proofErr w:type="gramEnd"/>
      <w:r w:rsidR="00335A98" w:rsidRPr="00335A98">
        <w:rPr>
          <w:rFonts w:cstheme="minorHAnsi"/>
          <w:color w:val="202124"/>
          <w:shd w:val="clear" w:color="auto" w:fill="FFFFFF"/>
        </w:rPr>
        <w:t xml:space="preserve"> who collects and analyzes data relating to the natural world, typically as part of a collaborative project with professional scientists.</w:t>
      </w:r>
      <w:r w:rsidR="00335A98" w:rsidRPr="00335A98">
        <w:rPr>
          <w:rFonts w:cstheme="minorHAnsi"/>
          <w:color w:val="202124"/>
          <w:shd w:val="clear" w:color="auto" w:fill="FFFFFF"/>
        </w:rPr>
        <w:t>)</w:t>
      </w:r>
    </w:p>
    <w:p w14:paraId="20AD79A2" w14:textId="77777777" w:rsidR="00335A98" w:rsidRPr="00335A98" w:rsidRDefault="00335A98" w:rsidP="00335A98">
      <w:pPr>
        <w:pStyle w:val="ListParagraph"/>
        <w:rPr>
          <w:b/>
          <w:bCs/>
          <w:u w:val="single"/>
        </w:rPr>
      </w:pPr>
    </w:p>
    <w:p w14:paraId="3F51BF29" w14:textId="0F9542DC" w:rsidR="00AB5437" w:rsidRDefault="00AB5437" w:rsidP="00AB5437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 xml:space="preserve"> Subject discipline / domain covered</w:t>
      </w:r>
      <w:proofErr w:type="gramStart"/>
      <w:r>
        <w:rPr>
          <w:b/>
          <w:bCs/>
          <w:u w:val="single"/>
        </w:rPr>
        <w:t xml:space="preserve">:  </w:t>
      </w:r>
      <w:r w:rsidRPr="00CF3D17">
        <w:t>(</w:t>
      </w:r>
      <w:proofErr w:type="gramEnd"/>
      <w:r w:rsidRPr="00CF3D17">
        <w:t>Source:  RDA ETHRD-IG compilation;  subject to additions as new learning resources are added)</w:t>
      </w:r>
    </w:p>
    <w:p w14:paraId="6C32B847" w14:textId="7A8683DE" w:rsidR="00CF3D17" w:rsidRDefault="00DB25C1" w:rsidP="00CF3D17">
      <w:r>
        <w:rPr>
          <w:noProof/>
        </w:rPr>
        <w:lastRenderedPageBreak/>
        <w:drawing>
          <wp:inline distT="0" distB="0" distL="0" distR="0" wp14:anchorId="6F850105" wp14:editId="1933FD3B">
            <wp:extent cx="3924848" cy="7249537"/>
            <wp:effectExtent l="0" t="0" r="0" b="889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C7C6" w14:textId="3E67A3B6" w:rsidR="00DB25C1" w:rsidRDefault="00DB25C1" w:rsidP="00CF3D17">
      <w:r>
        <w:rPr>
          <w:noProof/>
        </w:rPr>
        <w:lastRenderedPageBreak/>
        <w:drawing>
          <wp:inline distT="0" distB="0" distL="0" distR="0" wp14:anchorId="7C754A67" wp14:editId="24440EC9">
            <wp:extent cx="5193030" cy="8229600"/>
            <wp:effectExtent l="0" t="0" r="7620" b="0"/>
            <wp:docPr id="2" name="Picture 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0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4400" w14:textId="2DDF801E" w:rsidR="00DB25C1" w:rsidRDefault="00DB25C1" w:rsidP="00DB25C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Uniqueness of topic coverage or instructional method:</w:t>
      </w:r>
    </w:p>
    <w:p w14:paraId="7242BB37" w14:textId="4110BA34" w:rsidR="00DB25C1" w:rsidRPr="00DB25C1" w:rsidRDefault="00DB25C1" w:rsidP="00DB25C1">
      <w:r>
        <w:t xml:space="preserve">Other factors should be considered when deciding whether to publish information about a learning resource in the DMTC that may include the uniqueness of extent, range, </w:t>
      </w:r>
      <w:proofErr w:type="gramStart"/>
      <w:r>
        <w:t>approach</w:t>
      </w:r>
      <w:proofErr w:type="gramEnd"/>
      <w:r>
        <w:t xml:space="preserve"> and coverage of a topic; the instructional approach that would make the learning resource interesting and useful for various learning styles; and the authority or expertise of the authors and/or publishers of the resource.  </w:t>
      </w:r>
    </w:p>
    <w:p w14:paraId="0336CCEB" w14:textId="6F455ADE" w:rsidR="00DB25C1" w:rsidRDefault="00DB25C1" w:rsidP="00DB25C1">
      <w:pPr>
        <w:rPr>
          <w:b/>
          <w:bCs/>
          <w:u w:val="single"/>
        </w:rPr>
      </w:pPr>
    </w:p>
    <w:p w14:paraId="52BBF401" w14:textId="2F432CBF" w:rsidR="00DB25C1" w:rsidRDefault="00DB25C1" w:rsidP="00DB25C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Examples of Edge Cases for discussion:  </w:t>
      </w:r>
    </w:p>
    <w:p w14:paraId="3F186F62" w14:textId="700456F7" w:rsidR="00DB25C1" w:rsidRDefault="00017C51" w:rsidP="00DB25C1">
      <w:pPr>
        <w:rPr>
          <w:u w:val="single"/>
        </w:rPr>
      </w:pPr>
      <w:r>
        <w:rPr>
          <w:u w:val="single"/>
        </w:rPr>
        <w:t>From WDS Resource Guide:</w:t>
      </w:r>
    </w:p>
    <w:p w14:paraId="37409BC4" w14:textId="77777777" w:rsidR="00017C51" w:rsidRDefault="00017C51" w:rsidP="00017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World Glacier Monitoring Service, Zurich</w:t>
      </w:r>
    </w:p>
    <w:p w14:paraId="44A4784F" w14:textId="77777777" w:rsidR="00017C51" w:rsidRDefault="00C67F59" w:rsidP="00017C5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hyperlink r:id="rId10">
        <w:r w:rsidR="00017C51">
          <w:rPr>
            <w:color w:val="1155CC"/>
            <w:u w:val="single"/>
          </w:rPr>
          <w:t>http://wgms.ch/projects/</w:t>
        </w:r>
      </w:hyperlink>
      <w:r w:rsidR="00017C51">
        <w:t xml:space="preserve"> </w:t>
      </w:r>
    </w:p>
    <w:p w14:paraId="74A83AD3" w14:textId="77777777" w:rsidR="00017C51" w:rsidRDefault="00017C51" w:rsidP="00017C5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 xml:space="preserve">Issue:  are schools for training researchers, but no apparent mention of data management per </w:t>
      </w:r>
      <w:proofErr w:type="gramStart"/>
      <w:r>
        <w:t>se;  could</w:t>
      </w:r>
      <w:proofErr w:type="gramEnd"/>
      <w:r>
        <w:t xml:space="preserve"> be considered part of research life cycle; step for gathering or analyzing data for this particular domain.  Seems out of scope due to lack of specific discussion of data management w/in course materials.  </w:t>
      </w:r>
      <w:proofErr w:type="gramStart"/>
      <w:r>
        <w:t>Also</w:t>
      </w:r>
      <w:proofErr w:type="gramEnd"/>
      <w:r>
        <w:t xml:space="preserve"> only PDFs of slides and/or outlines.</w:t>
      </w:r>
    </w:p>
    <w:p w14:paraId="74E59F78" w14:textId="77777777" w:rsidR="00017C51" w:rsidRDefault="00017C51" w:rsidP="00017C5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The Royal Society of New Zealand</w:t>
      </w:r>
    </w:p>
    <w:p w14:paraId="2823B150" w14:textId="77777777" w:rsidR="00017C51" w:rsidRDefault="00C67F59" w:rsidP="00017C5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hyperlink r:id="rId11">
        <w:r w:rsidR="00017C51">
          <w:rPr>
            <w:color w:val="1155CC"/>
            <w:u w:val="single"/>
          </w:rPr>
          <w:t>https://drive.google.com/a/icsu-wds.org/file/d/0ByyGtY4J2lcadjRtd1U2QlpWdjQ/view?usp=sharing</w:t>
        </w:r>
      </w:hyperlink>
      <w:r w:rsidR="00017C51">
        <w:t xml:space="preserve"> (need permission to access)</w:t>
      </w:r>
    </w:p>
    <w:p w14:paraId="7C560122" w14:textId="77777777" w:rsidR="00017C51" w:rsidRDefault="00017C51" w:rsidP="00017C51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Issue:  Useful paper that could be included in a course bibliography or resource list course syllabus, but not a training resource per se.  So, out of scope.</w:t>
      </w:r>
    </w:p>
    <w:p w14:paraId="71893199" w14:textId="77777777" w:rsidR="00017C51" w:rsidRPr="00017C51" w:rsidRDefault="00017C51" w:rsidP="00DB25C1">
      <w:pPr>
        <w:rPr>
          <w:u w:val="single"/>
        </w:rPr>
      </w:pPr>
    </w:p>
    <w:p w14:paraId="5EFDCE93" w14:textId="29D877CB" w:rsidR="00CF3D17" w:rsidRPr="00CF3D17" w:rsidRDefault="00CF3D17" w:rsidP="00CF3D17"/>
    <w:p w14:paraId="5B6627F1" w14:textId="77777777" w:rsidR="00AB5437" w:rsidRPr="00AB5437" w:rsidRDefault="00AB5437" w:rsidP="00AB5437">
      <w:pPr>
        <w:rPr>
          <w:b/>
          <w:bCs/>
          <w:u w:val="single"/>
        </w:rPr>
      </w:pPr>
    </w:p>
    <w:sectPr w:rsidR="00AB5437" w:rsidRPr="00AB543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B716C" w14:textId="77777777" w:rsidR="002A2ACC" w:rsidRDefault="002A2ACC" w:rsidP="002A2ACC">
      <w:pPr>
        <w:spacing w:after="0" w:line="240" w:lineRule="auto"/>
      </w:pPr>
      <w:r>
        <w:separator/>
      </w:r>
    </w:p>
  </w:endnote>
  <w:endnote w:type="continuationSeparator" w:id="0">
    <w:p w14:paraId="37FBCF9D" w14:textId="77777777" w:rsidR="002A2ACC" w:rsidRDefault="002A2ACC" w:rsidP="002A2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03751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A66B58" w14:textId="6A9D3F00" w:rsidR="002A2ACC" w:rsidRDefault="002A2A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391629" w14:textId="77777777" w:rsidR="002A2ACC" w:rsidRDefault="002A2A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6EA32" w14:textId="77777777" w:rsidR="002A2ACC" w:rsidRDefault="002A2ACC" w:rsidP="002A2ACC">
      <w:pPr>
        <w:spacing w:after="0" w:line="240" w:lineRule="auto"/>
      </w:pPr>
      <w:r>
        <w:separator/>
      </w:r>
    </w:p>
  </w:footnote>
  <w:footnote w:type="continuationSeparator" w:id="0">
    <w:p w14:paraId="3561AC59" w14:textId="77777777" w:rsidR="002A2ACC" w:rsidRDefault="002A2ACC" w:rsidP="002A2A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D705A"/>
    <w:multiLevelType w:val="hybridMultilevel"/>
    <w:tmpl w:val="E192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72301"/>
    <w:multiLevelType w:val="multilevel"/>
    <w:tmpl w:val="2626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E5EB5"/>
    <w:multiLevelType w:val="multilevel"/>
    <w:tmpl w:val="45844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303673"/>
    <w:multiLevelType w:val="hybridMultilevel"/>
    <w:tmpl w:val="444C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572A2"/>
    <w:multiLevelType w:val="hybridMultilevel"/>
    <w:tmpl w:val="037C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7426A"/>
    <w:multiLevelType w:val="hybridMultilevel"/>
    <w:tmpl w:val="4B3244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5BE5044"/>
    <w:multiLevelType w:val="hybridMultilevel"/>
    <w:tmpl w:val="21EA9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B6"/>
    <w:rsid w:val="00017C51"/>
    <w:rsid w:val="001106A2"/>
    <w:rsid w:val="00216D2A"/>
    <w:rsid w:val="0021733D"/>
    <w:rsid w:val="002330FE"/>
    <w:rsid w:val="002510B6"/>
    <w:rsid w:val="00251477"/>
    <w:rsid w:val="002A2ACC"/>
    <w:rsid w:val="00335A98"/>
    <w:rsid w:val="00390A3F"/>
    <w:rsid w:val="00432CEB"/>
    <w:rsid w:val="004A71B1"/>
    <w:rsid w:val="005F2C27"/>
    <w:rsid w:val="007D5DF3"/>
    <w:rsid w:val="008200BA"/>
    <w:rsid w:val="0084549C"/>
    <w:rsid w:val="008A2158"/>
    <w:rsid w:val="008B1965"/>
    <w:rsid w:val="0091152C"/>
    <w:rsid w:val="00960B25"/>
    <w:rsid w:val="009F3077"/>
    <w:rsid w:val="00A13FDB"/>
    <w:rsid w:val="00A2179D"/>
    <w:rsid w:val="00AB0D0A"/>
    <w:rsid w:val="00AB5437"/>
    <w:rsid w:val="00AC78B7"/>
    <w:rsid w:val="00AF0DEB"/>
    <w:rsid w:val="00BD0CD9"/>
    <w:rsid w:val="00BD14EE"/>
    <w:rsid w:val="00C974DC"/>
    <w:rsid w:val="00CF3D17"/>
    <w:rsid w:val="00D85C5B"/>
    <w:rsid w:val="00DA6016"/>
    <w:rsid w:val="00DB25C1"/>
    <w:rsid w:val="00E8579B"/>
    <w:rsid w:val="00E86CDC"/>
    <w:rsid w:val="00F15342"/>
    <w:rsid w:val="00F300BC"/>
    <w:rsid w:val="00F7442F"/>
    <w:rsid w:val="00FE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4144"/>
  <w15:chartTrackingRefBased/>
  <w15:docId w15:val="{269AC414-1CA7-48E2-A550-E48D75B4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10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10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0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510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51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0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90A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ACC"/>
  </w:style>
  <w:style w:type="paragraph" w:styleId="Footer">
    <w:name w:val="footer"/>
    <w:basedOn w:val="Normal"/>
    <w:link w:val="FooterChar"/>
    <w:uiPriority w:val="99"/>
    <w:unhideWhenUsed/>
    <w:rsid w:val="002A2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Open_educational_resource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a/icsu-wds.org/file/d/0ByyGtY4J2lcadjRtd1U2QlpWdjQ/view?usp=sharing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gms.ch/projec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Hoebelheinrich</dc:creator>
  <cp:keywords/>
  <dc:description/>
  <cp:lastModifiedBy>Nancy Hoebelheinrich</cp:lastModifiedBy>
  <cp:revision>10</cp:revision>
  <dcterms:created xsi:type="dcterms:W3CDTF">2021-11-08T15:08:00Z</dcterms:created>
  <dcterms:modified xsi:type="dcterms:W3CDTF">2021-11-09T15:07:00Z</dcterms:modified>
</cp:coreProperties>
</file>