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56"/>
        </w:rPr>
        <w:t>校招导师赋能</w:t>
      </w:r>
    </w:p>
    <w:p>
      <w:pPr>
        <w:jc w:val="center"/>
      </w:pPr>
      <w:r>
        <w:rPr>
          <w:color w:val="4472C4"/>
          <w:sz w:val="36"/>
        </w:rPr>
        <w:t>用一张画布构建深度辅导框架</w:t>
      </w:r>
    </w:p>
    <w:p/>
    <w:p/>
    <w:p>
      <w:pPr>
        <w:jc w:val="center"/>
      </w:pPr>
      <w:r>
        <w:rPr>
          <w:sz w:val="28"/>
        </w:rPr>
        <w:t>课程介绍</w:t>
      </w:r>
    </w:p>
    <w:p/>
    <w:p/>
    <w:p>
      <w:pPr>
        <w:jc w:val="center"/>
      </w:pPr>
      <w:r>
        <w:t>适用客户：国企/央企校招导师培训 | 金融机构师徒制 | 科技公司新人带教</w:t>
      </w:r>
    </w:p>
    <w:p/>
    <w:p>
      <w:pPr>
        <w:jc w:val="center"/>
      </w:pPr>
      <w:r>
        <w:t>版本：1.0</w:t>
      </w:r>
    </w:p>
    <w:p>
      <w:r>
        <w:br w:type="page"/>
      </w:r>
    </w:p>
    <w:p>
      <w:pPr>
        <w:pStyle w:val="Heading1"/>
      </w:pPr>
      <w:r>
        <w:t>一、课程定位</w:t>
      </w:r>
    </w:p>
    <w:p>
      <w:pPr>
        <w:pStyle w:val="Heading2"/>
      </w:pPr>
      <w:r>
        <w:t>一句话定位</w:t>
      </w:r>
    </w:p>
    <w:p>
      <w:pPr>
        <w:jc w:val="both"/>
      </w:pPr>
      <w:r>
        <w:rPr>
          <w:i/>
          <w:color w:val="4472C4"/>
        </w:rPr>
        <w:t>一门帮助校招导师从「凭经验带人」切换到「用框架辅导人」的方法课——用一张诊断画布读懂新人、设计辅导动作并形成闭环。</w:t>
      </w:r>
    </w:p>
    <w:p>
      <w:pPr>
        <w:pStyle w:val="Heading2"/>
      </w:pPr>
      <w:r>
        <w:t>解决的问题</w:t>
      </w:r>
    </w:p>
    <w:p>
      <w:pPr>
        <w:pStyle w:val="ListBullet"/>
      </w:pPr>
      <w:r>
        <w:t>校招新人「参差不齐」——同样的培养机制，为什么有人三个月达标，有人一年还是「扶不起来」？</w:t>
      </w:r>
    </w:p>
    <w:p>
      <w:pPr>
        <w:pStyle w:val="ListBullet"/>
      </w:pPr>
      <w:r>
        <w:t>导师「凭直觉辅导」——发现学员有问题，但不知道从哪里切入，东一榔头西一棒子</w:t>
      </w:r>
    </w:p>
    <w:p>
      <w:pPr>
        <w:pStyle w:val="ListBullet"/>
      </w:pPr>
      <w:r>
        <w:t>辅导「石沉大海」——导师很用心，学员也感动，但三个月后说不出学员到底进步了多少</w:t>
      </w:r>
    </w:p>
    <w:p>
      <w:pPr>
        <w:pStyle w:val="ListBullet"/>
      </w:pPr>
      <w:r>
        <w:t>经验「难以复制」——好导师带出来的徒弟呱呱叫，换个导师就「碰运气」</w:t>
      </w:r>
    </w:p>
    <w:p>
      <w:r>
        <w:br w:type="page"/>
      </w:r>
    </w:p>
    <w:p>
      <w:pPr>
        <w:pStyle w:val="Heading1"/>
      </w:pPr>
      <w:r>
        <w:t>二、目标学员</w:t>
      </w:r>
    </w:p>
    <w:p>
      <w:pPr>
        <w:pStyle w:val="Heading2"/>
      </w:pPr>
      <w:r>
        <w:t>核心学员</w:t>
      </w:r>
    </w:p>
    <w:p>
      <w:pPr>
        <w:pStyle w:val="ListBullet"/>
      </w:pPr>
      <w:r>
        <w:t>国企/央企校招导师</w:t>
      </w:r>
    </w:p>
    <w:p>
      <w:pPr>
        <w:pStyle w:val="ListBullet"/>
      </w:pPr>
      <w:r>
        <w:t>金融机构师徒制中的指导人</w:t>
      </w:r>
    </w:p>
    <w:p>
      <w:pPr>
        <w:pStyle w:val="ListBullet"/>
      </w:pPr>
      <w:r>
        <w:t>科技公司新人带教负责人</w:t>
      </w:r>
    </w:p>
    <w:p>
      <w:pPr>
        <w:pStyle w:val="Heading2"/>
      </w:pPr>
      <w:r>
        <w:t>学员画像</w:t>
      </w:r>
    </w:p>
    <w:p>
      <w:pPr>
        <w:pStyle w:val="ListBullet"/>
      </w:pPr>
      <w:r>
        <w:t>有带校招新人的实际任务</w:t>
      </w:r>
    </w:p>
    <w:p>
      <w:pPr>
        <w:pStyle w:val="ListBullet"/>
      </w:pPr>
      <w:r>
        <w:t>希望从「凭经验」升级到「有框架」</w:t>
      </w:r>
    </w:p>
    <w:p>
      <w:pPr>
        <w:pStyle w:val="ListBullet"/>
      </w:pPr>
      <w:r>
        <w:t>愿意用真实案例参与实操</w:t>
      </w:r>
    </w:p>
    <w:p>
      <w:r>
        <w:br w:type="page"/>
      </w:r>
    </w:p>
    <w:p>
      <w:pPr>
        <w:pStyle w:val="Heading1"/>
      </w:pPr>
      <w:r>
        <w:t>三、学员收益</w:t>
      </w:r>
    </w:p>
    <w:p>
      <w:pPr>
        <w:pStyle w:val="Heading2"/>
      </w:pPr>
      <w:r>
        <w:t>能力收益</w:t>
      </w:r>
    </w:p>
    <w:p>
      <w:pPr>
        <w:pStyle w:val="ListNumber"/>
      </w:pPr>
      <w:r>
        <w:t>看得准——用冰山模型系统理解新人，从「看行为」升级到「看动机」</w:t>
      </w:r>
    </w:p>
    <w:p>
      <w:pPr>
        <w:pStyle w:val="ListNumber"/>
      </w:pPr>
      <w:r>
        <w:t>治得准——用差距诊断画布区分技能/知识/态度差距，不同差距不同疗法</w:t>
      </w:r>
    </w:p>
    <w:p>
      <w:pPr>
        <w:pStyle w:val="ListNumber"/>
      </w:pPr>
      <w:r>
        <w:t>落得实——用辅导动作设计表让每次辅导都具体、可执行、有反馈</w:t>
      </w:r>
    </w:p>
    <w:p>
      <w:pPr>
        <w:pStyle w:val="ListNumber"/>
      </w:pPr>
      <w:r>
        <w:t>闭得环——用跟进复盘画布建立辅导闭环，让辅导结果可衡量</w:t>
      </w:r>
    </w:p>
    <w:p>
      <w:pPr>
        <w:pStyle w:val="Heading2"/>
      </w:pPr>
      <w:r>
        <w:t>工具收益</w:t>
      </w:r>
    </w:p>
    <w:p>
      <w:pPr>
        <w:pStyle w:val="ListBullet"/>
      </w:pPr>
      <w:r>
        <w:t>带走一套完整的深度辅导画布（基于真实学员的完整辅导案例）</w:t>
      </w:r>
    </w:p>
    <w:p>
      <w:pPr>
        <w:pStyle w:val="ListBullet"/>
      </w:pPr>
      <w:r>
        <w:t>带走四张可立即使用的工具：新人画像冰山图、差距诊断画布、辅导动作设计表、跟进复盘画布</w:t>
      </w:r>
    </w:p>
    <w:p>
      <w:pPr>
        <w:pStyle w:val="ListBullet"/>
      </w:pPr>
      <w:r>
        <w:t>带走一套可复制的辅导方法论，后续带任何新人都可以用</w:t>
      </w:r>
    </w:p>
    <w:p>
      <w:r>
        <w:br w:type="page"/>
      </w:r>
    </w:p>
    <w:p>
      <w:pPr>
        <w:pStyle w:val="Heading1"/>
      </w:pPr>
      <w:r>
        <w:t>四、课程内容概览</w:t>
      </w:r>
    </w:p>
    <w:p>
      <w:pPr>
        <w:pStyle w:val="Heading2"/>
      </w:pPr>
      <w:r>
        <w:t>课程框架：一画四步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核心内容</w:t>
            </w:r>
          </w:p>
        </w:tc>
        <w:tc>
          <w:tcPr>
            <w:tcW w:type="dxa" w:w="2880"/>
          </w:tcPr>
          <w:p>
            <w:r>
              <w:t>工具产出</w:t>
            </w:r>
          </w:p>
        </w:tc>
      </w:tr>
      <w:tr>
        <w:tc>
          <w:tcPr>
            <w:tcW w:type="dxa" w:w="2880"/>
          </w:tcPr>
          <w:p>
            <w:r>
              <w:t>第一步：看人</w:t>
            </w:r>
          </w:p>
        </w:tc>
        <w:tc>
          <w:tcPr>
            <w:tcW w:type="dxa" w:w="2880"/>
          </w:tcPr>
          <w:p>
            <w:r>
              <w:t>校招新人的三重差异分析</w:t>
              <w:br/>
              <w:t>冰山模型五层次解读</w:t>
            </w:r>
          </w:p>
        </w:tc>
        <w:tc>
          <w:tcPr>
            <w:tcW w:type="dxa" w:w="2880"/>
          </w:tcPr>
          <w:p>
            <w:r>
              <w:t>新人画像冰山图</w:t>
            </w:r>
          </w:p>
        </w:tc>
      </w:tr>
      <w:tr>
        <w:tc>
          <w:tcPr>
            <w:tcW w:type="dxa" w:w="2880"/>
          </w:tcPr>
          <w:p>
            <w:r>
              <w:t>第二步：诊断差距</w:t>
            </w:r>
          </w:p>
        </w:tc>
        <w:tc>
          <w:tcPr>
            <w:tcW w:type="dxa" w:w="2880"/>
          </w:tcPr>
          <w:p>
            <w:r>
              <w:t>三类差距识别</w:t>
              <w:br/>
              <w:t>优先级判定矩阵</w:t>
            </w:r>
          </w:p>
        </w:tc>
        <w:tc>
          <w:tcPr>
            <w:tcW w:type="dxa" w:w="2880"/>
          </w:tcPr>
          <w:p>
            <w:r>
              <w:t>差距诊断画布</w:t>
            </w:r>
          </w:p>
        </w:tc>
      </w:tr>
      <w:tr>
        <w:tc>
          <w:tcPr>
            <w:tcW w:type="dxa" w:w="2880"/>
          </w:tcPr>
          <w:p>
            <w:r>
              <w:t>第三步：设计动作</w:t>
            </w:r>
          </w:p>
        </w:tc>
        <w:tc>
          <w:tcPr>
            <w:tcW w:type="dxa" w:w="2880"/>
          </w:tcPr>
          <w:p>
            <w:r>
              <w:t>辅导动作四要素</w:t>
              <w:br/>
              <w:t>教练式提问 vs 告知式建议</w:t>
            </w:r>
          </w:p>
        </w:tc>
        <w:tc>
          <w:tcPr>
            <w:tcW w:type="dxa" w:w="2880"/>
          </w:tcPr>
          <w:p>
            <w:r>
              <w:t>辅导动作设计表</w:t>
            </w:r>
          </w:p>
        </w:tc>
      </w:tr>
      <w:tr>
        <w:tc>
          <w:tcPr>
            <w:tcW w:type="dxa" w:w="2880"/>
          </w:tcPr>
          <w:p>
            <w:r>
              <w:t>第四步：跟进复盘</w:t>
            </w:r>
          </w:p>
        </w:tc>
        <w:tc>
          <w:tcPr>
            <w:tcW w:type="dxa" w:w="2880"/>
          </w:tcPr>
          <w:p>
            <w:r>
              <w:t>跟进机制建立</w:t>
              <w:br/>
              <w:t>结构化复盘七步法</w:t>
            </w:r>
          </w:p>
        </w:tc>
        <w:tc>
          <w:tcPr>
            <w:tcW w:type="dxa" w:w="2880"/>
          </w:tcPr>
          <w:p>
            <w:r>
              <w:t>跟进复盘画布</w:t>
            </w:r>
          </w:p>
        </w:tc>
      </w:tr>
    </w:tbl>
    <w:p/>
    <w:p>
      <w:r>
        <w:rPr>
          <w:i/>
          <w:color w:val="666666"/>
        </w:rPr>
        <w:t>全课用一张「深度辅导画布」串联四个模块，学员最终产出一份完整的辅导案例，可在实际工作中直接使用。</w:t>
      </w:r>
    </w:p>
    <w:p>
      <w:r>
        <w:br w:type="page"/>
      </w:r>
    </w:p>
    <w:p>
      <w:pPr>
        <w:pStyle w:val="Heading1"/>
      </w:pPr>
      <w:r>
        <w:t>五、课程时长</w:t>
      </w:r>
    </w:p>
    <w:p>
      <w:pPr>
        <w:pStyle w:val="Heading2"/>
      </w:pPr>
      <w:r>
        <w:t>完整版：1天（6小时）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上午</w:t>
            </w:r>
          </w:p>
        </w:tc>
        <w:tc>
          <w:tcPr>
            <w:tcW w:type="dxa" w:w="2880"/>
          </w:tcPr>
          <w:p>
            <w:r>
              <w:t>第一章：辅导的起点（看人）</w:t>
              <w:br/>
              <w:t>第二章：诊断差距</w:t>
            </w:r>
          </w:p>
        </w:tc>
        <w:tc>
          <w:tcPr>
            <w:tcW w:type="dxa" w:w="2880"/>
          </w:tcPr>
          <w:p>
            <w:r>
              <w:t>90分钟</w:t>
              <w:br/>
              <w:t>90分钟</w:t>
            </w:r>
          </w:p>
        </w:tc>
      </w:tr>
      <w:tr>
        <w:tc>
          <w:tcPr>
            <w:tcW w:type="dxa" w:w="2880"/>
          </w:tcPr>
          <w:p>
            <w:r>
              <w:t>下午</w:t>
            </w:r>
          </w:p>
        </w:tc>
        <w:tc>
          <w:tcPr>
            <w:tcW w:type="dxa" w:w="2880"/>
          </w:tcPr>
          <w:p>
            <w:r>
              <w:t>第三章：设计辅导动作</w:t>
              <w:br/>
              <w:t>第四章：跟进与复盘</w:t>
              <w:br/>
              <w:t>第五章：综合实战与路演</w:t>
            </w:r>
          </w:p>
        </w:tc>
        <w:tc>
          <w:tcPr>
            <w:tcW w:type="dxa" w:w="2880"/>
          </w:tcPr>
          <w:p>
            <w:r>
              <w:t>120分钟</w:t>
              <w:br/>
              <w:t>90分钟</w:t>
              <w:br/>
              <w:t>90分钟</w:t>
            </w:r>
          </w:p>
        </w:tc>
      </w:tr>
    </w:tbl>
    <w:p/>
    <w:p>
      <w:pPr>
        <w:pStyle w:val="Heading2"/>
      </w:pPr>
      <w:r>
        <w:t>半天版：3小时（压缩版）</w:t>
      </w:r>
    </w:p>
    <w:p>
      <w:pPr>
        <w:pStyle w:val="ListBullet"/>
      </w:pPr>
      <w:r>
        <w:t>适合工作节奏紧张、无法安排全天培训的企业</w:t>
      </w:r>
    </w:p>
    <w:p>
      <w:pPr>
        <w:pStyle w:val="ListBullet"/>
      </w:pPr>
      <w:r>
        <w:t>保留核心工具教学和角色扮演，压缩分享环节</w:t>
      </w:r>
    </w:p>
    <w:p>
      <w:r>
        <w:br w:type="page"/>
      </w:r>
    </w:p>
    <w:p>
      <w:pPr>
        <w:pStyle w:val="Heading1"/>
      </w:pPr>
      <w:r>
        <w:t>六、交付形式</w:t>
      </w:r>
    </w:p>
    <w:p>
      <w:pPr>
        <w:pStyle w:val="Heading2"/>
      </w:pPr>
      <w:r>
        <w:t>学员配套</w:t>
      </w:r>
    </w:p>
    <w:p>
      <w:pPr>
        <w:pStyle w:val="ListBullet"/>
      </w:pPr>
      <w:r>
        <w:t>课程工作手册（含所有工具模板）</w:t>
      </w:r>
    </w:p>
    <w:p>
      <w:pPr>
        <w:pStyle w:val="ListBullet"/>
      </w:pPr>
      <w:r>
        <w:t>工具速查卡（可撕下随身携带）</w:t>
      </w:r>
    </w:p>
    <w:p>
      <w:pPr>
        <w:pStyle w:val="ListBullet"/>
      </w:pPr>
      <w:r>
        <w:t>完整版深度辅导画布（课堂产出）</w:t>
      </w:r>
    </w:p>
    <w:p>
      <w:pPr>
        <w:pStyle w:val="Heading2"/>
      </w:pPr>
      <w:r>
        <w:t>讲师配套</w:t>
      </w:r>
    </w:p>
    <w:p>
      <w:pPr>
        <w:pStyle w:val="ListBullet"/>
      </w:pPr>
      <w:r>
        <w:t>完整版课程幻灯片</w:t>
      </w:r>
    </w:p>
    <w:p>
      <w:pPr>
        <w:pStyle w:val="ListBullet"/>
      </w:pPr>
      <w:r>
        <w:t>讲师手册（含教学指南、示范案例）</w:t>
      </w:r>
    </w:p>
    <w:p>
      <w:pPr>
        <w:pStyle w:val="ListBullet"/>
      </w:pPr>
      <w:r>
        <w:t>学员工具电子版（可打印）</w:t>
      </w:r>
    </w:p>
    <w:p>
      <w:pPr>
        <w:pStyle w:val="Heading2"/>
      </w:pPr>
      <w:r>
        <w:t>交付方式</w:t>
      </w:r>
    </w:p>
    <w:p>
      <w:pPr>
        <w:pStyle w:val="ListBullet"/>
      </w:pPr>
      <w:r>
        <w:t>线下面授（首选）</w:t>
      </w:r>
    </w:p>
    <w:p>
      <w:pPr>
        <w:pStyle w:val="ListBullet"/>
      </w:pPr>
      <w:r>
        <w:t>线上直播+工作坊（支持异地学员）</w:t>
      </w:r>
    </w:p>
    <w:p>
      <w:r>
        <w:br w:type="page"/>
      </w:r>
    </w:p>
    <w:p>
      <w:pPr>
        <w:jc w:val="center"/>
      </w:pPr>
      <w:r>
        <w:t>如需进一步沟通课程细节，请联系课程顾问</w:t>
      </w:r>
    </w:p>
    <w:p>
      <w:pPr>
        <w:jc w:val="center"/>
      </w:pPr>
      <w:r>
        <w:t>课程版权归属：罗宏伟 | 版本1.0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r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