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90天行动计划模板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重点行动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里程碑成果</w:t>
            </w:r>
          </w:p>
        </w:tc>
      </w:tr>
      <w:tr>
        <w:tc>
          <w:tcPr>
            <w:tcW w:type="dxa" w:w="2880"/>
          </w:tcPr>
          <w:p>
            <w:r>
              <w:t>第1-2周</w:t>
            </w:r>
          </w:p>
        </w:tc>
        <w:tc>
          <w:tcPr>
            <w:tcW w:type="dxa" w:w="2880"/>
          </w:tcPr>
          <w:p>
            <w:r>
              <w:t>识别与访谈</w:t>
            </w:r>
          </w:p>
        </w:tc>
        <w:tc>
          <w:tcPr>
            <w:tcW w:type="dxa" w:w="2880"/>
          </w:tcPr>
          <w:p>
            <w:r>
              <w:t>选定值得做卡的决策</w:t>
              <w:br/>
              <w:t>完成第一次访谈</w:t>
            </w:r>
          </w:p>
        </w:tc>
      </w:tr>
      <w:tr>
        <w:tc>
          <w:tcPr>
            <w:tcW w:type="dxa" w:w="2880"/>
          </w:tcPr>
          <w:p>
            <w:r>
              <w:t>第3-4周</w:t>
            </w:r>
          </w:p>
        </w:tc>
        <w:tc>
          <w:tcPr>
            <w:tcW w:type="dxa" w:w="2880"/>
          </w:tcPr>
          <w:p>
            <w:r>
              <w:t>挖掘与结构化</w:t>
            </w:r>
          </w:p>
        </w:tc>
        <w:tc>
          <w:tcPr>
            <w:tcW w:type="dxa" w:w="2880"/>
          </w:tcPr>
          <w:p>
            <w:r>
              <w:t>完成全部三个维度的访谈</w:t>
              <w:br/>
              <w:t>提炼出隐性判断规则</w:t>
            </w:r>
          </w:p>
        </w:tc>
      </w:tr>
      <w:tr>
        <w:tc>
          <w:tcPr>
            <w:tcW w:type="dxa" w:w="2880"/>
          </w:tcPr>
          <w:p>
            <w:r>
              <w:t>第5-6周</w:t>
            </w:r>
          </w:p>
        </w:tc>
        <w:tc>
          <w:tcPr>
            <w:tcW w:type="dxa" w:w="2880"/>
          </w:tcPr>
          <w:p>
            <w:r>
              <w:t>卡片制作</w:t>
            </w:r>
          </w:p>
        </w:tc>
        <w:tc>
          <w:tcPr>
            <w:tcW w:type="dxa" w:w="2880"/>
          </w:tcPr>
          <w:p>
            <w:r>
              <w:t>完成决策卡初稿</w:t>
              <w:br/>
              <w:t>内部评审修改</w:t>
            </w:r>
          </w:p>
        </w:tc>
      </w:tr>
      <w:tr>
        <w:tc>
          <w:tcPr>
            <w:tcW w:type="dxa" w:w="2880"/>
          </w:tcPr>
          <w:p>
            <w:r>
              <w:t>第7-8周</w:t>
            </w:r>
          </w:p>
        </w:tc>
        <w:tc>
          <w:tcPr>
            <w:tcW w:type="dxa" w:w="2880"/>
          </w:tcPr>
          <w:p>
            <w:r>
              <w:t>评审与定稿</w:t>
            </w:r>
          </w:p>
        </w:tc>
        <w:tc>
          <w:tcPr>
            <w:tcW w:type="dxa" w:w="2880"/>
          </w:tcPr>
          <w:p>
            <w:r>
              <w:t>完成反对者评审</w:t>
              <w:br/>
              <w:t>卡片定稿并指定认领人</w:t>
            </w:r>
          </w:p>
        </w:tc>
      </w:tr>
      <w:tr>
        <w:tc>
          <w:tcPr>
            <w:tcW w:type="dxa" w:w="2880"/>
          </w:tcPr>
          <w:p>
            <w:r>
              <w:t>第9-10周</w:t>
            </w:r>
          </w:p>
        </w:tc>
        <w:tc>
          <w:tcPr>
            <w:tcW w:type="dxa" w:w="2880"/>
          </w:tcPr>
          <w:p>
            <w:r>
              <w:t>训练活动设计</w:t>
            </w:r>
          </w:p>
        </w:tc>
        <w:tc>
          <w:tcPr>
            <w:tcW w:type="dxa" w:w="2880"/>
          </w:tcPr>
          <w:p>
            <w:r>
              <w:t>设计三环节微课脚本</w:t>
              <w:br/>
              <w:t>进行第一次训练</w:t>
            </w:r>
          </w:p>
        </w:tc>
      </w:tr>
      <w:tr>
        <w:tc>
          <w:tcPr>
            <w:tcW w:type="dxa" w:w="2880"/>
          </w:tcPr>
          <w:p>
            <w:r>
              <w:t>第11-12周</w:t>
            </w:r>
          </w:p>
        </w:tc>
        <w:tc>
          <w:tcPr>
            <w:tcW w:type="dxa" w:w="2880"/>
          </w:tcPr>
          <w:p>
            <w:r>
              <w:t>应用与反馈</w:t>
            </w:r>
          </w:p>
        </w:tc>
        <w:tc>
          <w:tcPr>
            <w:tcW w:type="dxa" w:w="2880"/>
          </w:tcPr>
          <w:p>
            <w:r>
              <w:t>在真实场景中应用</w:t>
              <w:br/>
              <w:t>收集使用反馈</w:t>
            </w:r>
          </w:p>
        </w:tc>
      </w:tr>
      <w:tr>
        <w:tc>
          <w:tcPr>
            <w:tcW w:type="dxa" w:w="2880"/>
          </w:tcPr>
          <w:p>
            <w:r>
              <w:t>第15-16周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第17-18周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第19-20周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