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40"/>
        </w:rPr>
        <w:t>学习目标</w:t>
      </w:r>
    </w:p>
    <w:p/>
    <w:p>
      <w:r>
        <w:rPr>
          <w:b/>
          <w:color w:val="0066CC"/>
          <w:sz w:val="28"/>
        </w:rPr>
        <w:t>知识目标</w:t>
      </w:r>
    </w:p>
    <w:p>
      <w:r>
        <w:t>理解复盘与决策卡的本质区分</w:t>
      </w:r>
    </w:p>
    <w:p>
      <w:r>
        <w:rPr>
          <w:b/>
          <w:color w:val="0066CC"/>
          <w:sz w:val="28"/>
        </w:rPr>
        <w:t>技能目标</w:t>
      </w:r>
    </w:p>
    <w:p>
      <w:r>
        <w:t>掌握决策卡制作的全流程方法</w:t>
      </w:r>
    </w:p>
    <w:p>
      <w:r>
        <w:rPr>
          <w:b/>
          <w:color w:val="0066CC"/>
          <w:sz w:val="28"/>
        </w:rPr>
        <w:t>态度目标</w:t>
      </w:r>
    </w:p>
    <w:p>
      <w:r>
        <w:t>建立判断力是组织核心资产的意识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