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pPr><w:pStyle w:val="caption"></w:pStyle><w:color w:val="333333"></w:color><w:jc w:val="start"></w:jc><w:keepNext></w:keepNext></w:pPr><w:r><w:rPr><w:rFonts w:ascii="Calibri" w:hAnsi="Calibri"></w:rFonts><w:sz w:val="24"></w:sz></w:rPr><w:t xml:space="preserve">Table </w:t></w:r>
<w:r><w:fldChar w:fldCharType="begin" w:dirty="true"></w:fldChar></w:r>
<w:r><w:instrText xml:space="preserve" w:dirty="true"> SEQ Table \* ARABIC </w:instrText></w:r>
<w:r><w:fldChar w:fldCharType="separate" w:dirty="true"></w:fldChar></w:r>
<w:r><w:rPr><w:noProof></w:noProof><w:rFonts w:ascii="Calibri" w:hAnsi="Calibri"></w:rFonts><w:sz w:val="24"></w:sz></w:rPr><w:t xml:space="default">1</w:t></w:r>
<w:r><w:fldChar w:fldCharType="end" w:dirty="true"></w:fldChar></w:r>
<w:r><w:rPr><w:rFonts w:ascii="Calibri" w:hAnsi="Calibri"></w:rFonts><w:sz w:val="24"></w:sz></w:rPr><w:t xml:space="preserve">: </w:t></w:r><w:r><w:rPr><w:rFonts w:ascii="Calibri" w:hAnsi="Calibri"></w:rFonts><w:sz w:val="24"></w:sz></w:rPr><w:t xml:space="default">&lt;w:rPr&gt;&lt;w:b w:val="true"&gt;&lt;/w:b&gt;&lt;/w:rPr&gt;Model Fit Summary Table&lt;w:rPr&gt;&lt;w:b w:val="false"&gt;&lt;/w:b&gt;&lt;/w:rPr&gt;<w:rPr><w:vertAlign w:val="superscript"></w:vertAlign><w:i>true</w:i><w:t xml:space="default">1</w:t><w:i>false</w:i><w:vertAlign w:val="baseline"></w:vertAlign></w:rPr></w:t></w:r></w:p>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tblPr><w:tblCellMar><w:top w:w="0" w:type="dxa"></w:top><w:bottom w:w="0" w:type="dxa"></w:bottom><w:start w:w="60" w:type="dxa"></w:start><w:end w:w="60" w:type="dxa"></w:end></w:tblCellMar><w:tblW w:type="pct" w:w="100%"></w:tblW><w:tblLook w:firstRow="0" w:lastRow="0" w:firstColumn="0" w:lastColumn="0" w:noHBand="0" w:noVBand="0"></w:tblLook><w:jc w:val="center"></w:jc></w:tblPr><w:tr><w:trPr><w:cantSplit></w:cantSplit><w:tblHeader></w:tblHeader></w:trPr><w:tc><w:tcPr><w:tcBorders><w:top w:val="single" w:sz="16" w:space="0" w:color="D3D3D3"></w:top><w:bottom w:val="single" w:sz="16" w:space="0" w:color="D3D3D3"></w:bottom><w:start w:val="single" w:space="0" w:color="D3D3D3"></w:start></w:tcBorders></w:tcPr><w:p><w:pPr><w:spacing w:before="0" w:after="60"></w:spacing><w:keepNext></w:keepNext></w:pPr><w:r><w:rPr><w:rFonts w:ascii="Calibri" w:hAnsi="Calibri"></w:rFonts><w:sz w:val="20"></w:sz></w:rPr><w:t xml:space="default">Classes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Par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&lt;w:rPr&gt;&lt;w:i&gt;true&lt;/w:i&gt;&lt;/w:rPr&gt;LL&lt;w:rPr&gt;&lt;w:i&gt;false&lt;/w:i&gt;&lt;/w:rPr&gt;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BIC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aBIC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CAIC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AWE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BLRT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VLMR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BF</w:t></w:r></w:p></w:tc><w:tc><w:tcPr><w:tcBorders><w:top w:val="single" w:sz="16" w:space="0" w:color="D3D3D3"></w:top><w:bottom w:val="single" w:sz="16" w:space="0" w:color="D3D3D3"></w:bottom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&lt;w:rPr&gt;&lt;w:i&gt;true&lt;/w:i&gt;&lt;/w:rPr&gt;cmPk&lt;w:rPr&gt;&lt;w:i&gt;false&lt;/w:i&gt;&lt;/w:rPr&gt;</w:t></w:r></w:p></w:tc></w:tr>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 1-Class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-8,150.35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16,340.16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16,324.27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16,345.16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16,394.62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--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--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0.00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.001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 2-Class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-7,191.88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14,470.57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14,435.61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14,481.56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14,590.37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.00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.00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0.00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.001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 3-Class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17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-7,124.92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14,384.00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14,329.99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14,401.00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w:b w:val="true"></w:b></w:rPr><w:t xml:space="default">14,569.16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.00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.00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0.00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0.00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 4-Class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-7,095.12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w:b w:val="true"></w:b></w:rPr><w:t xml:space="default">14,371.76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w:b w:val="true"></w:b></w:rPr><w:t xml:space="default">14,298.68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w:b w:val="true"></w:b></w:rPr><w:t xml:space="default">14,394.76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14,622.26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.00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.00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--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w:b w:val="true"></w:b></w:rPr><w:t xml:space="default">1.00</w:t></w:r></w:p></w:tc></w:tr><w:tr><w:trPr><w:cantSplit></w:cantSplit></w:trPr><w:tc><w:tcPr></w:tcPr><w:p><w:pPr><w:spacing w:before="0" w:after="60"></w:spacing><w:gridSpan w:val="11"></w:gridSpan><w:keepNext></w:keepNext></w:pPr><w:r><w:rPr><w:rFonts w:ascii="Calibri" w:hAnsi="Calibri"></w:rFonts><w:sz w:val="20"></w:sz><w:vertAlign w:val="superscript"></w:vertAlign><w:i>true</w:i></w:rPr><w:t xml:space="default">1</w:t></w:r>
<w:r><w:rPr><w:rFonts w:ascii="Calibri" w:hAnsi="Calibri"></w:rFonts><w:sz w:val="20"></w:sz><w:vertAlign w:val="baseline"></w:vertAlign></w:rPr><w:t xml:space="default">*Note.* Par = Parameters; *LL* = model log likelihood;
BIC = Bayesian information criterion;
aBIC = sample size adjusted BIC; CAIC = consistent Akaike information criterion;
AWE = approximate weight of evidence criterion;
BLRT = bootstrapped likelihood ratio test p-value;
VLMR = Vuong-Lo-Mendell-Rubin adjusted likelihood ratio test p-value;
*cmPk* = approximate correct model probability.</w:t></w:r></w:p></w:tc></w:tr></w:tbl><w:p><w:pPr><w:pStyle w:val="FirstParagraph" /></w:pPr><w:r><w:t xml:space="preserve"></w:t></w:r></w:p><w:sectPr /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2023-06-06T19:24:59Z</dcterms:created>
  <dcterms:modified xsi:type="dcterms:W3CDTF">2023-06-06T19:24:59Z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