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DF6" w:rsidRDefault="00D50DF6"/>
    <w:p w:rsidR="002025E2" w:rsidRDefault="002025E2"/>
    <w:p w:rsidR="002025E2" w:rsidRDefault="002025E2"/>
    <w:p w:rsidR="002025E2" w:rsidRDefault="002025E2"/>
    <w:p w:rsidR="002025E2" w:rsidRDefault="002025E2"/>
    <w:p w:rsidR="002025E2" w:rsidRDefault="002025E2"/>
    <w:p w:rsidR="002025E2" w:rsidRDefault="002025E2"/>
    <w:p w:rsidR="00D50DF6" w:rsidRDefault="00D50DF6"/>
    <w:p w:rsidR="00D50DF6" w:rsidRDefault="00D50DF6"/>
    <w:p w:rsidR="00D50DF6" w:rsidRDefault="00D50DF6"/>
    <w:p w:rsidR="00D50DF6" w:rsidRDefault="00D50DF6"/>
    <w:p w:rsidR="00D50DF6" w:rsidRDefault="00D50DF6"/>
    <w:p w:rsidR="00D50DF6" w:rsidRDefault="00D50DF6"/>
    <w:p w:rsidR="00D50DF6" w:rsidRDefault="00D50DF6"/>
    <w:p w:rsidR="004C2D04" w:rsidRDefault="004C2D04" w:rsidP="00D50DF6">
      <w:pPr>
        <w:jc w:val="center"/>
      </w:pPr>
      <w:r>
        <w:t xml:space="preserve">Possible Titles: </w:t>
      </w:r>
    </w:p>
    <w:p w:rsidR="00D50DF6" w:rsidRDefault="004C2D04" w:rsidP="00D50DF6">
      <w:pPr>
        <w:jc w:val="center"/>
      </w:pPr>
      <w:r>
        <w:t>Identifying Early Interest in Mathematics and Science</w:t>
      </w:r>
    </w:p>
    <w:p w:rsidR="00D50DF6" w:rsidRDefault="004C2D04" w:rsidP="00D50DF6">
      <w:pPr>
        <w:jc w:val="center"/>
      </w:pPr>
      <w:r>
        <w:t>Using Latent Class Analysis to Analyze Seventh Grade Science and Mathematics Attitudes</w:t>
      </w:r>
    </w:p>
    <w:p w:rsidR="004C2D04" w:rsidRDefault="004C2D04" w:rsidP="004C2D04">
      <w:pPr>
        <w:jc w:val="center"/>
      </w:pPr>
      <w:r>
        <w:t>Similarities in Seventh Grade: Using Latent Class Analysis to Analyze Mathematics and Science Attitudes by Gender and Ethnicity</w:t>
      </w:r>
    </w:p>
    <w:p w:rsidR="004C2D04" w:rsidRDefault="004C2D04" w:rsidP="004C2D04">
      <w:pPr>
        <w:jc w:val="center"/>
      </w:pPr>
      <w:r>
        <w:t>Using Latent Class Analysis to Identify Early Interest in Mathematics and Science</w:t>
      </w:r>
    </w:p>
    <w:p w:rsidR="006D1ABF" w:rsidRDefault="006D1ABF" w:rsidP="004C2D04">
      <w:pPr>
        <w:jc w:val="center"/>
      </w:pPr>
      <w:r>
        <w:t xml:space="preserve">A </w:t>
      </w:r>
      <w:r w:rsidR="006F0270">
        <w:t>M</w:t>
      </w:r>
      <w:r>
        <w:t xml:space="preserve">ethod to </w:t>
      </w:r>
      <w:r w:rsidR="006F0270">
        <w:t>I</w:t>
      </w:r>
      <w:r>
        <w:t xml:space="preserve">dentify </w:t>
      </w:r>
      <w:r w:rsidR="006F0270">
        <w:t>E</w:t>
      </w:r>
      <w:r>
        <w:t xml:space="preserve">arly </w:t>
      </w:r>
      <w:r w:rsidR="006F0270">
        <w:t>I</w:t>
      </w:r>
      <w:r>
        <w:t xml:space="preserve">nterest in </w:t>
      </w:r>
      <w:r w:rsidR="006F0270">
        <w:t>M</w:t>
      </w:r>
      <w:r>
        <w:t xml:space="preserve">athematics and </w:t>
      </w:r>
      <w:r w:rsidR="006F0270">
        <w:t>S</w:t>
      </w:r>
      <w:r>
        <w:t>cience</w:t>
      </w:r>
    </w:p>
    <w:p w:rsidR="006D1ABF" w:rsidRDefault="006D1ABF" w:rsidP="004C2D04">
      <w:pPr>
        <w:jc w:val="center"/>
      </w:pPr>
      <w:r>
        <w:t>Supporting and Fostering STEM Career Aspirations</w:t>
      </w:r>
    </w:p>
    <w:p w:rsidR="00D50DF6" w:rsidRDefault="00D50DF6" w:rsidP="004C2D04"/>
    <w:p w:rsidR="00D50DF6" w:rsidRDefault="00D50DF6" w:rsidP="00D50DF6">
      <w:pPr>
        <w:jc w:val="center"/>
      </w:pPr>
    </w:p>
    <w:p w:rsidR="00D50DF6" w:rsidRDefault="00D50DF6"/>
    <w:p w:rsidR="00D50DF6" w:rsidRDefault="00D50DF6">
      <w:pPr>
        <w:sectPr w:rsidR="00D50DF6" w:rsidSect="00D50DF6">
          <w:headerReference w:type="default" r:id="rId9"/>
          <w:headerReference w:type="first" r:id="rId10"/>
          <w:pgSz w:w="12240" w:h="15840"/>
          <w:pgMar w:top="1440" w:right="1440" w:bottom="1440" w:left="1440" w:header="720" w:footer="720" w:gutter="0"/>
          <w:cols w:space="720"/>
          <w:titlePg/>
          <w:docGrid w:linePitch="360"/>
        </w:sectPr>
      </w:pPr>
    </w:p>
    <w:p w:rsidR="00D50DF6" w:rsidRDefault="00D50DF6" w:rsidP="00D50DF6">
      <w:pPr>
        <w:jc w:val="center"/>
      </w:pPr>
      <w:r>
        <w:lastRenderedPageBreak/>
        <w:t>Abstract</w:t>
      </w:r>
    </w:p>
    <w:p w:rsidR="00D50DF6" w:rsidRDefault="00D50DF6"/>
    <w:p w:rsidR="00D50DF6" w:rsidRDefault="004C2D04" w:rsidP="00D50DF6">
      <w:pPr>
        <w:spacing w:line="480" w:lineRule="auto"/>
      </w:pPr>
      <w:proofErr w:type="gramStart"/>
      <w:r>
        <w:t xml:space="preserve">Blah </w:t>
      </w:r>
      <w:proofErr w:type="spellStart"/>
      <w:r>
        <w:t>blah</w:t>
      </w:r>
      <w:proofErr w:type="spellEnd"/>
      <w:r>
        <w:t xml:space="preserve"> </w:t>
      </w:r>
      <w:proofErr w:type="spellStart"/>
      <w:r>
        <w:t>blah</w:t>
      </w:r>
      <w:proofErr w:type="spellEnd"/>
      <w:r>
        <w:t>.</w:t>
      </w:r>
      <w:proofErr w:type="gramEnd"/>
      <w:r>
        <w:t xml:space="preserve"> </w:t>
      </w:r>
    </w:p>
    <w:p w:rsidR="00D50DF6" w:rsidRDefault="00D50DF6" w:rsidP="00D50DF6">
      <w:pPr>
        <w:spacing w:line="480" w:lineRule="auto"/>
      </w:pPr>
    </w:p>
    <w:p w:rsidR="00D50DF6" w:rsidRDefault="00D50DF6" w:rsidP="00D50DF6">
      <w:pPr>
        <w:spacing w:line="480" w:lineRule="auto"/>
        <w:ind w:firstLine="720"/>
      </w:pPr>
      <w:r w:rsidRPr="00D50DF6">
        <w:rPr>
          <w:i/>
        </w:rPr>
        <w:t>Keywords</w:t>
      </w:r>
      <w:r>
        <w:t xml:space="preserve">: </w:t>
      </w:r>
      <w:r w:rsidR="004C2D04">
        <w:t>attitudes, STEM, achievement, mathematics, science</w:t>
      </w:r>
    </w:p>
    <w:p w:rsidR="00D50DF6" w:rsidRDefault="00D50DF6" w:rsidP="00D50DF6">
      <w:pPr>
        <w:spacing w:line="480" w:lineRule="auto"/>
      </w:pPr>
      <w:r>
        <w:br w:type="page"/>
      </w:r>
    </w:p>
    <w:p w:rsidR="00D50DF6" w:rsidRDefault="00D50DF6" w:rsidP="00D50DF6">
      <w:pPr>
        <w:spacing w:line="480" w:lineRule="auto"/>
        <w:jc w:val="center"/>
      </w:pPr>
      <w:r>
        <w:lastRenderedPageBreak/>
        <w:t>Title</w:t>
      </w:r>
    </w:p>
    <w:p w:rsidR="00AF0E7E" w:rsidRDefault="004C2D04" w:rsidP="004760AE">
      <w:pPr>
        <w:spacing w:line="480" w:lineRule="auto"/>
        <w:ind w:firstLine="720"/>
      </w:pPr>
      <w:r>
        <w:t xml:space="preserve">There is a projected need for students to fill STEM-related occupations (add references) and a projected shortage of students who have the interest and adequate preparation to fill these occupations (add references). To address this projected need and shortage, much can be done to support the early interest and persistence of STEM careers in K-12 settings. </w:t>
      </w:r>
      <w:proofErr w:type="gramStart"/>
      <w:r>
        <w:t>However, …</w:t>
      </w:r>
      <w:proofErr w:type="gramEnd"/>
    </w:p>
    <w:p w:rsidR="00AF0E7E" w:rsidRDefault="004C2D04" w:rsidP="004C2D04">
      <w:pPr>
        <w:spacing w:line="480" w:lineRule="auto"/>
      </w:pPr>
      <w:r>
        <w:t>This is an even more acute issue for females and underrepresented minority students. R</w:t>
      </w:r>
      <w:r w:rsidR="00AF0E7E" w:rsidRPr="00441DEC">
        <w:t xml:space="preserve">esearch suggests that underrepresented minority students </w:t>
      </w:r>
      <w:r>
        <w:t xml:space="preserve">(such as Black and Hispanic students) </w:t>
      </w:r>
      <w:r w:rsidR="00AF0E7E" w:rsidRPr="00441DEC">
        <w:t>are more susceptible to dropping out of STEM careers despite expressing in</w:t>
      </w:r>
      <w:r w:rsidR="00AF0E7E">
        <w:t>itial interest in STEM careers (</w:t>
      </w:r>
      <w:proofErr w:type="spellStart"/>
      <w:r w:rsidR="00AF0E7E">
        <w:t>Bonous-Hammarth</w:t>
      </w:r>
      <w:proofErr w:type="spellEnd"/>
      <w:r w:rsidR="00AF0E7E">
        <w:t xml:space="preserve">, 2000; </w:t>
      </w:r>
      <w:proofErr w:type="spellStart"/>
      <w:r w:rsidR="00AF0E7E">
        <w:t>Daempfle</w:t>
      </w:r>
      <w:proofErr w:type="spellEnd"/>
      <w:r w:rsidR="00AF0E7E">
        <w:t xml:space="preserve">, </w:t>
      </w:r>
      <w:r w:rsidR="00AF0E7E" w:rsidRPr="000E7D62">
        <w:t>2003</w:t>
      </w:r>
      <w:r w:rsidR="00AF0E7E">
        <w:t xml:space="preserve">; </w:t>
      </w:r>
      <w:r w:rsidR="00AF0E7E" w:rsidRPr="004C2D04">
        <w:rPr>
          <w:sz w:val="23"/>
          <w:szCs w:val="23"/>
        </w:rPr>
        <w:t xml:space="preserve">Elliott, </w:t>
      </w:r>
      <w:proofErr w:type="spellStart"/>
      <w:r w:rsidR="00AF0E7E" w:rsidRPr="004C2D04">
        <w:rPr>
          <w:sz w:val="23"/>
          <w:szCs w:val="23"/>
        </w:rPr>
        <w:t>Strenta</w:t>
      </w:r>
      <w:proofErr w:type="spellEnd"/>
      <w:r w:rsidR="00AF0E7E" w:rsidRPr="004C2D04">
        <w:rPr>
          <w:sz w:val="23"/>
          <w:szCs w:val="23"/>
        </w:rPr>
        <w:t xml:space="preserve">, Adair, </w:t>
      </w:r>
      <w:proofErr w:type="spellStart"/>
      <w:r w:rsidR="00AF0E7E" w:rsidRPr="004C2D04">
        <w:rPr>
          <w:sz w:val="23"/>
          <w:szCs w:val="23"/>
        </w:rPr>
        <w:t>Matier</w:t>
      </w:r>
      <w:proofErr w:type="spellEnd"/>
      <w:r w:rsidR="00AF0E7E" w:rsidRPr="004C2D04">
        <w:rPr>
          <w:sz w:val="23"/>
          <w:szCs w:val="23"/>
        </w:rPr>
        <w:t xml:space="preserve">, &amp; Scott, 1996; </w:t>
      </w:r>
      <w:proofErr w:type="spellStart"/>
      <w:r w:rsidR="00AF0E7E">
        <w:t>Gándara</w:t>
      </w:r>
      <w:proofErr w:type="spellEnd"/>
      <w:r w:rsidR="00AF0E7E">
        <w:t xml:space="preserve"> &amp; Maxwell-Jolly, 1999; National Academy of Sciences, 2011; </w:t>
      </w:r>
      <w:proofErr w:type="spellStart"/>
      <w:r w:rsidR="00AF0E7E">
        <w:t>Grandy</w:t>
      </w:r>
      <w:proofErr w:type="spellEnd"/>
      <w:r w:rsidR="00AF0E7E">
        <w:t xml:space="preserve">, 1998; </w:t>
      </w:r>
      <w:proofErr w:type="spellStart"/>
      <w:r w:rsidR="00AF0E7E">
        <w:t>Oseguera</w:t>
      </w:r>
      <w:proofErr w:type="spellEnd"/>
      <w:r w:rsidR="00AF0E7E">
        <w:t xml:space="preserve">, </w:t>
      </w:r>
      <w:proofErr w:type="spellStart"/>
      <w:r w:rsidR="00AF0E7E">
        <w:t>Hurtado</w:t>
      </w:r>
      <w:proofErr w:type="spellEnd"/>
      <w:r w:rsidR="00AF0E7E">
        <w:t xml:space="preserve">, </w:t>
      </w:r>
      <w:r w:rsidR="00AF0E7E" w:rsidRPr="000E7D62">
        <w:t>Dens</w:t>
      </w:r>
      <w:r w:rsidR="00AF0E7E">
        <w:t xml:space="preserve">on, </w:t>
      </w:r>
      <w:proofErr w:type="spellStart"/>
      <w:r w:rsidR="00AF0E7E">
        <w:t>Cerna</w:t>
      </w:r>
      <w:proofErr w:type="spellEnd"/>
      <w:r w:rsidR="00AF0E7E">
        <w:t xml:space="preserve">, &amp; Saenz, </w:t>
      </w:r>
      <w:r w:rsidR="00AF0E7E" w:rsidRPr="000E7D62">
        <w:t>2006</w:t>
      </w:r>
      <w:r w:rsidR="00AF0E7E">
        <w:t xml:space="preserve">; Russell, &amp; Atwater, </w:t>
      </w:r>
      <w:r w:rsidR="00AF0E7E" w:rsidRPr="000E7D62">
        <w:t>2005</w:t>
      </w:r>
      <w:r w:rsidR="00AF0E7E">
        <w:t xml:space="preserve">; White, J. </w:t>
      </w:r>
      <w:proofErr w:type="spellStart"/>
      <w:r w:rsidR="00AF0E7E">
        <w:t>Altschuld</w:t>
      </w:r>
      <w:proofErr w:type="spellEnd"/>
      <w:r w:rsidR="00AF0E7E">
        <w:t xml:space="preserve">, J. &amp; Lee, </w:t>
      </w:r>
      <w:r w:rsidR="00AF0E7E" w:rsidRPr="000E7D62">
        <w:t>2006</w:t>
      </w:r>
      <w:r w:rsidR="00AF0E7E">
        <w:t>).</w:t>
      </w:r>
      <w:r>
        <w:t xml:space="preserve"> </w:t>
      </w:r>
      <w:r w:rsidR="00AF0E7E">
        <w:t>Recent research finds that underrepresented minorities aspire to major in STEM in college at the same rates as their white and Asian American peers but have lower four- and five-year completion rates relative to those of whites and Asian Americans (</w:t>
      </w:r>
      <w:proofErr w:type="spellStart"/>
      <w:r w:rsidR="00AF0E7E">
        <w:t>HERI</w:t>
      </w:r>
      <w:proofErr w:type="spellEnd"/>
      <w:r w:rsidR="00AF0E7E">
        <w:t xml:space="preserve">, 2010, Huang, </w:t>
      </w:r>
      <w:proofErr w:type="spellStart"/>
      <w:r w:rsidR="00AF0E7E">
        <w:t>Taddese</w:t>
      </w:r>
      <w:proofErr w:type="spellEnd"/>
      <w:r w:rsidR="00AF0E7E">
        <w:t>, &amp; Walter, 2000).</w:t>
      </w:r>
      <w:r>
        <w:t xml:space="preserve"> </w:t>
      </w:r>
      <w:proofErr w:type="spellStart"/>
      <w:r>
        <w:t>Hu</w:t>
      </w:r>
      <w:r w:rsidR="00AF0E7E">
        <w:t>rtado</w:t>
      </w:r>
      <w:proofErr w:type="spellEnd"/>
      <w:r w:rsidR="00AF0E7E">
        <w:t>, Ca</w:t>
      </w:r>
      <w:r>
        <w:t>brera, Lin, Arellano, Espinosa (2009) raise the issue that c</w:t>
      </w:r>
      <w:r w:rsidR="00AF0E7E">
        <w:t>ommon assumptions regarding racial and ethnic inequality focus on a perceived lack of motivation and preparation within minority p</w:t>
      </w:r>
      <w:r>
        <w:t xml:space="preserve">opulations but that </w:t>
      </w:r>
      <w:r w:rsidR="00AF0E7E">
        <w:t xml:space="preserve">studies have shown many academically well-prepared high school URM students are interested in pursuing scientific and engineering careers (see for example, College Board 2005; </w:t>
      </w:r>
      <w:proofErr w:type="spellStart"/>
      <w:r>
        <w:t>Hurtado</w:t>
      </w:r>
      <w:proofErr w:type="spellEnd"/>
      <w:r>
        <w:t xml:space="preserve"> et al. 2006; NSF 2004).</w:t>
      </w:r>
    </w:p>
    <w:p w:rsidR="00112EE7" w:rsidRDefault="00112EE7" w:rsidP="004C2D04">
      <w:pPr>
        <w:spacing w:line="480" w:lineRule="auto"/>
      </w:pPr>
      <w:r>
        <w:t>Add literature about importance of pre-college (k-12) settings (see for example, Sax &amp; Harper, 2007).</w:t>
      </w:r>
    </w:p>
    <w:p w:rsidR="004E5D96" w:rsidRDefault="004E5D96" w:rsidP="00A7550F">
      <w:pPr>
        <w:spacing w:line="480" w:lineRule="auto"/>
        <w:rPr>
          <w:b/>
        </w:rPr>
      </w:pPr>
      <w:r>
        <w:rPr>
          <w:b/>
        </w:rPr>
        <w:t>Importance of Attitudes</w:t>
      </w:r>
      <w:r w:rsidR="004760AE">
        <w:rPr>
          <w:b/>
        </w:rPr>
        <w:t xml:space="preserve"> in STEM Career Aspirations</w:t>
      </w:r>
      <w:r w:rsidR="00124E0F">
        <w:rPr>
          <w:b/>
        </w:rPr>
        <w:t xml:space="preserve"> (1 page)</w:t>
      </w:r>
    </w:p>
    <w:p w:rsidR="004E5D96" w:rsidRDefault="004E5D96" w:rsidP="004E5D96">
      <w:pPr>
        <w:spacing w:line="480" w:lineRule="auto"/>
      </w:pPr>
      <w:r>
        <w:lastRenderedPageBreak/>
        <w:t>Add recent literature (</w:t>
      </w:r>
      <w:proofErr w:type="spellStart"/>
      <w:r>
        <w:t>Riegle</w:t>
      </w:r>
      <w:proofErr w:type="spellEnd"/>
      <w:r>
        <w:t>-Crumb et al., 2012) about lack of achievement differences between males/females; underrepresented minorities/Whites and Asians in K-12 settings. Differences in achievement fail to account for d</w:t>
      </w:r>
      <w:r w:rsidR="004760AE">
        <w:t>ifferences in STEM career aspirations.</w:t>
      </w:r>
    </w:p>
    <w:p w:rsidR="004E5D96" w:rsidRDefault="004E5D96" w:rsidP="004E5D96">
      <w:pPr>
        <w:spacing w:line="480" w:lineRule="auto"/>
      </w:pPr>
      <w:r>
        <w:t>Add literature about importance of attitudes and aspirations in STEM persistence.</w:t>
      </w:r>
    </w:p>
    <w:p w:rsidR="00112EE7" w:rsidRPr="00112EE7" w:rsidRDefault="004760AE" w:rsidP="00A7550F">
      <w:pPr>
        <w:spacing w:line="480" w:lineRule="auto"/>
        <w:rPr>
          <w:b/>
        </w:rPr>
      </w:pPr>
      <w:r>
        <w:rPr>
          <w:b/>
        </w:rPr>
        <w:t>Mathematics and Science Attitudes</w:t>
      </w:r>
      <w:r w:rsidR="00124E0F">
        <w:rPr>
          <w:b/>
        </w:rPr>
        <w:t xml:space="preserve"> (1 page)</w:t>
      </w:r>
    </w:p>
    <w:p w:rsidR="00112EE7" w:rsidRDefault="00112EE7" w:rsidP="00A7550F">
      <w:pPr>
        <w:spacing w:line="480" w:lineRule="auto"/>
      </w:pPr>
      <w:r>
        <w:t xml:space="preserve">Add literature from science identity from </w:t>
      </w:r>
      <w:proofErr w:type="spellStart"/>
      <w:r>
        <w:t>Aschbacher</w:t>
      </w:r>
      <w:proofErr w:type="spellEnd"/>
      <w:r>
        <w:t xml:space="preserve"> et al. (2010), Archer et al. (2012), Calabrese-Barton et al. (in press)</w:t>
      </w:r>
    </w:p>
    <w:p w:rsidR="00112EE7" w:rsidRDefault="00112EE7" w:rsidP="00A7550F">
      <w:pPr>
        <w:spacing w:line="480" w:lineRule="auto"/>
      </w:pPr>
      <w:r>
        <w:t>Add literature from ma</w:t>
      </w:r>
      <w:r w:rsidR="00B56D66">
        <w:t>th attitudes and aspirations</w:t>
      </w:r>
    </w:p>
    <w:p w:rsidR="00B56D66" w:rsidRDefault="00B56D66" w:rsidP="00A7550F">
      <w:pPr>
        <w:spacing w:line="480" w:lineRule="auto"/>
      </w:pPr>
    </w:p>
    <w:p w:rsidR="00D50DF6" w:rsidRPr="00A7550F" w:rsidRDefault="004760AE" w:rsidP="00A7550F">
      <w:pPr>
        <w:spacing w:line="480" w:lineRule="auto"/>
      </w:pPr>
      <w:r>
        <w:t xml:space="preserve">This study builds on existing literature about differences in mathematics and science attitudes by examining differences between seventh graders in terms of their mathematics and science attitudes. This study explores whether such differences in attitudes vary by gender, ethnicity and achievement and relates these differences to whether or not these students were employed in a STEM career by their </w:t>
      </w:r>
      <w:proofErr w:type="gramStart"/>
      <w:r>
        <w:t>mid-30’s</w:t>
      </w:r>
      <w:proofErr w:type="gramEnd"/>
      <w:r>
        <w:t xml:space="preserve">. </w:t>
      </w:r>
      <w:r w:rsidR="00B22B16">
        <w:t xml:space="preserve">This study uses a methodology that helps make sense of underlying differences in student mathematics and science attitudes. </w:t>
      </w:r>
      <w:r w:rsidR="00A7550F" w:rsidRPr="00A7550F">
        <w:t>In doing so, this study contributes to the existing literature in the following ways: includes longitudinal data of a national sample of seventh graders, includes mathematics and science attitude variables,</w:t>
      </w:r>
      <w:r w:rsidR="00B22B16">
        <w:t xml:space="preserve"> and </w:t>
      </w:r>
      <w:r w:rsidR="00A7550F" w:rsidRPr="00A7550F">
        <w:t>includes outcome of actual STEM career (and not intentions to pursue STEM degree).</w:t>
      </w:r>
      <w:r w:rsidR="0064301A">
        <w:t xml:space="preserve"> Information from this study can be used to help target programs or interventions to particular groups of students. MI: Maybe give hypothetical example of what this means in terms of specific interventions that could raise attitudes for students who are interested in math but not interested in science. </w:t>
      </w:r>
    </w:p>
    <w:p w:rsidR="00D50DF6" w:rsidRPr="00D50DF6" w:rsidRDefault="00D50DF6" w:rsidP="00D50DF6">
      <w:pPr>
        <w:spacing w:line="480" w:lineRule="auto"/>
        <w:jc w:val="center"/>
        <w:rPr>
          <w:b/>
        </w:rPr>
      </w:pPr>
      <w:r w:rsidRPr="00D50DF6">
        <w:rPr>
          <w:b/>
        </w:rPr>
        <w:t>Method</w:t>
      </w:r>
    </w:p>
    <w:p w:rsidR="00D50DF6" w:rsidRDefault="00D50DF6" w:rsidP="00D50DF6">
      <w:pPr>
        <w:spacing w:line="480" w:lineRule="auto"/>
        <w:rPr>
          <w:b/>
        </w:rPr>
      </w:pPr>
      <w:r w:rsidRPr="00D50DF6">
        <w:rPr>
          <w:b/>
        </w:rPr>
        <w:lastRenderedPageBreak/>
        <w:t>Sample</w:t>
      </w:r>
    </w:p>
    <w:p w:rsidR="00D50DF6" w:rsidRPr="00D50DF6" w:rsidRDefault="00C5521F" w:rsidP="00D53BF7">
      <w:pPr>
        <w:spacing w:line="480" w:lineRule="auto"/>
        <w:ind w:firstLine="720"/>
      </w:pPr>
      <w:r>
        <w:rPr>
          <w:rFonts w:eastAsia="Calibri" w:cs="Times New Roman"/>
        </w:rPr>
        <w:t xml:space="preserve">This sample includes participants from the Longitudinal Study of American Youth (LSAY). </w:t>
      </w:r>
      <w:r w:rsidRPr="00C5521F">
        <w:t xml:space="preserve">The </w:t>
      </w:r>
      <w:r>
        <w:t>LSAY</w:t>
      </w:r>
      <w:r w:rsidRPr="00C5521F">
        <w:t xml:space="preserve"> is a national sample of public school students in 1987 </w:t>
      </w:r>
      <w:proofErr w:type="gramStart"/>
      <w:r w:rsidRPr="00C5521F">
        <w:t>who</w:t>
      </w:r>
      <w:proofErr w:type="gramEnd"/>
      <w:r w:rsidRPr="00C5521F">
        <w:t xml:space="preserve"> are now in their </w:t>
      </w:r>
      <w:r w:rsidR="00132E77">
        <w:t>late</w:t>
      </w:r>
      <w:r w:rsidRPr="00C5521F">
        <w:t xml:space="preserve">-30s. </w:t>
      </w:r>
      <w:r>
        <w:rPr>
          <w:rFonts w:eastAsia="Calibri" w:cs="Times New Roman"/>
        </w:rPr>
        <w:t xml:space="preserve">The LSAY was funded by the National Science Foundation in 1986 to examine the development of student achievement in middle and high school and the relationship of those patterns to career choices. The students included in this particular study were from the seventh grade cohort. The cohort consists of students from 52 middle schools across the United States in 1987. Approximately 60 students were randomly selected from each school. The sample is predominantly White (70%) with approximately equal numbers of females (48%) and males (52%). The sample included 9% Hispanic, 11% African American, 4% Asian, and 2% Native American (5% of students did not indicate any race/ethnicity). Thirty-one percent of the students in the sample had at least one parent who completed </w:t>
      </w:r>
      <w:r w:rsidRPr="0065662F">
        <w:rPr>
          <w:rFonts w:eastAsia="Calibri" w:cs="Times New Roman"/>
        </w:rPr>
        <w:t>college, while</w:t>
      </w:r>
      <w:r>
        <w:rPr>
          <w:rFonts w:eastAsia="Calibri" w:cs="Times New Roman"/>
        </w:rPr>
        <w:t xml:space="preserve"> the other 69% did not. This study included data from students who completed an attitudinal questionnaire </w:t>
      </w:r>
      <w:r>
        <w:t xml:space="preserve">and mathematics achievement test in seventh grade </w:t>
      </w:r>
      <w:r>
        <w:rPr>
          <w:rFonts w:eastAsia="Calibri" w:cs="Times New Roman"/>
        </w:rPr>
        <w:t>(</w:t>
      </w:r>
      <w:r w:rsidRPr="00017CE2">
        <w:rPr>
          <w:rFonts w:eastAsia="Calibri" w:cs="Times New Roman"/>
          <w:i/>
        </w:rPr>
        <w:t>N</w:t>
      </w:r>
      <w:r>
        <w:rPr>
          <w:rFonts w:eastAsia="Calibri" w:cs="Times New Roman"/>
        </w:rPr>
        <w:t xml:space="preserve"> = 3,116)</w:t>
      </w:r>
      <w:r>
        <w:t xml:space="preserve">. </w:t>
      </w:r>
      <w:r>
        <w:rPr>
          <w:rFonts w:eastAsia="Calibri" w:cs="Times New Roman"/>
        </w:rPr>
        <w:t xml:space="preserve">In 2007, more than 95% of the original sample completed a questionnaire about their educational and occupational outcomes (Miller, 2010). </w:t>
      </w:r>
      <w:r w:rsidR="00D53BF7">
        <w:t xml:space="preserve"> </w:t>
      </w:r>
    </w:p>
    <w:p w:rsidR="00D50DF6" w:rsidRPr="00D50DF6" w:rsidRDefault="00D50DF6" w:rsidP="00D50DF6">
      <w:pPr>
        <w:spacing w:line="480" w:lineRule="auto"/>
        <w:rPr>
          <w:b/>
        </w:rPr>
      </w:pPr>
      <w:r w:rsidRPr="00D50DF6">
        <w:rPr>
          <w:b/>
        </w:rPr>
        <w:t>Measures</w:t>
      </w:r>
    </w:p>
    <w:p w:rsidR="00C5521F" w:rsidRDefault="00C5521F" w:rsidP="00C5521F">
      <w:pPr>
        <w:autoSpaceDE w:val="0"/>
        <w:autoSpaceDN w:val="0"/>
        <w:adjustRightInd w:val="0"/>
        <w:spacing w:line="480" w:lineRule="auto"/>
        <w:ind w:firstLine="720"/>
      </w:pPr>
      <w:proofErr w:type="gramStart"/>
      <w:r w:rsidRPr="00C5521F">
        <w:rPr>
          <w:b/>
        </w:rPr>
        <w:t>Mathematics and science attitudes</w:t>
      </w:r>
      <w:r>
        <w:t>.</w:t>
      </w:r>
      <w:proofErr w:type="gramEnd"/>
      <w:r w:rsidR="002636DE">
        <w:t xml:space="preserve"> </w:t>
      </w:r>
      <w:r w:rsidR="00F23D33">
        <w:t>Ten items related to mathematics and science attitudes were included (Table X). These items were selected based on prior literature (see for example, XX</w:t>
      </w:r>
      <w:proofErr w:type="gramStart"/>
      <w:r w:rsidR="006C594F">
        <w:t>, ??</w:t>
      </w:r>
      <w:proofErr w:type="gramEnd"/>
      <w:r w:rsidR="00F23D33">
        <w:t>).</w:t>
      </w:r>
      <w:r w:rsidR="00CE609F">
        <w:t xml:space="preserve"> MI: I don’t know if these items were used in another LSAY study? Do you? But if not, we can bring in some theory about why attitudes are important and why these particular items were selected to measure attitudes? Would it make sense to include confirmatory factor analysis results here?</w:t>
      </w:r>
    </w:p>
    <w:p w:rsidR="00C5521F" w:rsidRDefault="00C5521F" w:rsidP="00C5521F">
      <w:pPr>
        <w:autoSpaceDE w:val="0"/>
        <w:autoSpaceDN w:val="0"/>
        <w:adjustRightInd w:val="0"/>
        <w:spacing w:line="480" w:lineRule="auto"/>
        <w:ind w:firstLine="720"/>
        <w:rPr>
          <w:szCs w:val="24"/>
        </w:rPr>
      </w:pPr>
      <w:proofErr w:type="gramStart"/>
      <w:r w:rsidRPr="00C5521F">
        <w:rPr>
          <w:b/>
        </w:rPr>
        <w:lastRenderedPageBreak/>
        <w:t>Mathematics achievement</w:t>
      </w:r>
      <w:r>
        <w:t>.</w:t>
      </w:r>
      <w:proofErr w:type="gramEnd"/>
      <w:r>
        <w:rPr>
          <w:rFonts w:eastAsia="Calibri" w:cs="Times New Roman"/>
          <w:szCs w:val="24"/>
        </w:rPr>
        <w:t xml:space="preserve"> Student mathematics achievement was assessed in the f</w:t>
      </w:r>
      <w:r w:rsidRPr="00766B57">
        <w:rPr>
          <w:rFonts w:eastAsia="Calibri" w:cs="Times New Roman"/>
          <w:szCs w:val="24"/>
        </w:rPr>
        <w:t>all</w:t>
      </w:r>
      <w:r>
        <w:rPr>
          <w:rFonts w:eastAsia="Calibri" w:cs="Times New Roman"/>
          <w:szCs w:val="24"/>
        </w:rPr>
        <w:t xml:space="preserve"> of </w:t>
      </w:r>
      <w:r>
        <w:rPr>
          <w:szCs w:val="24"/>
        </w:rPr>
        <w:t xml:space="preserve">seventh </w:t>
      </w:r>
      <w:r>
        <w:rPr>
          <w:rFonts w:eastAsia="Calibri" w:cs="Times New Roman"/>
          <w:szCs w:val="24"/>
        </w:rPr>
        <w:t>grade (</w:t>
      </w:r>
      <w:r w:rsidR="00132E77" w:rsidRPr="00132E77">
        <w:rPr>
          <w:rFonts w:eastAsia="Calibri" w:cs="Times New Roman"/>
          <w:i/>
          <w:szCs w:val="24"/>
        </w:rPr>
        <w:t>M</w:t>
      </w:r>
      <w:r w:rsidR="00F23D33">
        <w:rPr>
          <w:rFonts w:eastAsia="Calibri" w:cs="Times New Roman"/>
          <w:szCs w:val="24"/>
        </w:rPr>
        <w:t xml:space="preserve"> = 50.47</w:t>
      </w:r>
      <w:r w:rsidR="00132E77">
        <w:rPr>
          <w:rFonts w:eastAsia="Calibri" w:cs="Times New Roman"/>
          <w:szCs w:val="24"/>
        </w:rPr>
        <w:t xml:space="preserve">, </w:t>
      </w:r>
      <w:r w:rsidR="00132E77" w:rsidRPr="00132E77">
        <w:rPr>
          <w:rFonts w:eastAsia="Calibri" w:cs="Times New Roman"/>
          <w:i/>
          <w:szCs w:val="24"/>
        </w:rPr>
        <w:t>SD</w:t>
      </w:r>
      <w:r w:rsidR="00F23D33">
        <w:rPr>
          <w:rFonts w:eastAsia="Calibri" w:cs="Times New Roman"/>
          <w:szCs w:val="24"/>
        </w:rPr>
        <w:t xml:space="preserve"> = 10.20</w:t>
      </w:r>
      <w:r>
        <w:rPr>
          <w:rFonts w:eastAsia="Calibri" w:cs="Times New Roman"/>
          <w:szCs w:val="24"/>
        </w:rPr>
        <w:t xml:space="preserve">). </w:t>
      </w:r>
      <w:r w:rsidRPr="00D9680B">
        <w:rPr>
          <w:rFonts w:eastAsia="Calibri" w:cs="Times New Roman"/>
          <w:szCs w:val="24"/>
        </w:rPr>
        <w:t>The scores were calculated using an Item Response Theory model</w:t>
      </w:r>
      <w:r>
        <w:rPr>
          <w:rFonts w:eastAsia="Calibri" w:cs="Times New Roman"/>
          <w:szCs w:val="24"/>
        </w:rPr>
        <w:t xml:space="preserve"> (Lord, 1980)</w:t>
      </w:r>
      <w:r w:rsidRPr="00D9680B">
        <w:rPr>
          <w:rFonts w:eastAsia="Calibri" w:cs="Times New Roman"/>
          <w:szCs w:val="24"/>
        </w:rPr>
        <w:t>, with a</w:t>
      </w:r>
      <w:r>
        <w:rPr>
          <w:rFonts w:eastAsia="Calibri" w:cs="Times New Roman"/>
          <w:szCs w:val="24"/>
        </w:rPr>
        <w:t xml:space="preserve"> </w:t>
      </w:r>
      <w:r w:rsidRPr="00D9680B">
        <w:rPr>
          <w:rFonts w:eastAsia="Calibri" w:cs="Times New Roman"/>
          <w:szCs w:val="24"/>
        </w:rPr>
        <w:t xml:space="preserve">scale ranging from 0 to 100. </w:t>
      </w:r>
      <w:r>
        <w:rPr>
          <w:rFonts w:eastAsia="Calibri" w:cs="Times New Roman"/>
          <w:szCs w:val="24"/>
        </w:rPr>
        <w:t xml:space="preserve">There is a mean score of 50 and a standard deviation of 10 for the </w:t>
      </w:r>
      <w:r w:rsidRPr="00205108">
        <w:rPr>
          <w:rFonts w:eastAsia="Calibri" w:cs="Times New Roman"/>
          <w:szCs w:val="24"/>
        </w:rPr>
        <w:t>seventh grade students</w:t>
      </w:r>
      <w:r>
        <w:rPr>
          <w:rFonts w:eastAsia="Calibri" w:cs="Times New Roman"/>
          <w:szCs w:val="24"/>
        </w:rPr>
        <w:t xml:space="preserve">. </w:t>
      </w:r>
      <w:r w:rsidRPr="00D9680B">
        <w:rPr>
          <w:rFonts w:eastAsia="Calibri" w:cs="Times New Roman"/>
          <w:szCs w:val="24"/>
        </w:rPr>
        <w:t xml:space="preserve">Each test consisted </w:t>
      </w:r>
      <w:r>
        <w:rPr>
          <w:rFonts w:eastAsia="Calibri" w:cs="Times New Roman"/>
          <w:szCs w:val="24"/>
        </w:rPr>
        <w:t xml:space="preserve">of </w:t>
      </w:r>
      <w:r w:rsidRPr="00D9680B">
        <w:rPr>
          <w:rFonts w:eastAsia="Calibri" w:cs="Times New Roman"/>
          <w:szCs w:val="24"/>
        </w:rPr>
        <w:t>items from</w:t>
      </w:r>
      <w:r>
        <w:rPr>
          <w:rFonts w:eastAsia="Calibri" w:cs="Times New Roman"/>
          <w:szCs w:val="24"/>
        </w:rPr>
        <w:t xml:space="preserve"> </w:t>
      </w:r>
      <w:r w:rsidRPr="00D9680B">
        <w:rPr>
          <w:rFonts w:eastAsia="Calibri" w:cs="Times New Roman"/>
          <w:szCs w:val="24"/>
        </w:rPr>
        <w:t xml:space="preserve">the National Assessment of Educational Progress </w:t>
      </w:r>
      <w:r>
        <w:rPr>
          <w:rFonts w:eastAsia="Calibri" w:cs="Times New Roman"/>
          <w:szCs w:val="24"/>
        </w:rPr>
        <w:t xml:space="preserve">(NAEP, 1986) </w:t>
      </w:r>
      <w:r w:rsidRPr="003B7DD0">
        <w:rPr>
          <w:rFonts w:eastAsia="Calibri" w:cs="Times New Roman"/>
          <w:szCs w:val="24"/>
        </w:rPr>
        <w:t>and was</w:t>
      </w:r>
      <w:r>
        <w:rPr>
          <w:rFonts w:eastAsia="Calibri" w:cs="Times New Roman"/>
          <w:szCs w:val="24"/>
        </w:rPr>
        <w:t xml:space="preserve"> designed to measure basic skills, algebra, geometry, and </w:t>
      </w:r>
      <w:r w:rsidRPr="00D9680B">
        <w:rPr>
          <w:rFonts w:eastAsia="Calibri" w:cs="Times New Roman"/>
          <w:szCs w:val="24"/>
        </w:rPr>
        <w:t>quanti</w:t>
      </w:r>
      <w:r>
        <w:rPr>
          <w:szCs w:val="24"/>
        </w:rPr>
        <w:t>tative literacy</w:t>
      </w:r>
      <w:r w:rsidRPr="00D9680B">
        <w:rPr>
          <w:rFonts w:eastAsia="Calibri" w:cs="Times New Roman"/>
          <w:szCs w:val="24"/>
        </w:rPr>
        <w:t>.</w:t>
      </w:r>
    </w:p>
    <w:p w:rsidR="00D53BF7" w:rsidRPr="00F81518" w:rsidRDefault="00D53BF7" w:rsidP="00D53BF7">
      <w:pPr>
        <w:autoSpaceDE w:val="0"/>
        <w:autoSpaceDN w:val="0"/>
        <w:adjustRightInd w:val="0"/>
        <w:spacing w:line="480" w:lineRule="auto"/>
        <w:ind w:firstLine="720"/>
        <w:rPr>
          <w:rFonts w:eastAsia="Calibri" w:cs="Times New Roman"/>
          <w:color w:val="FF0000"/>
          <w:szCs w:val="24"/>
        </w:rPr>
      </w:pPr>
      <w:r w:rsidRPr="00F81518">
        <w:rPr>
          <w:rFonts w:eastAsia="Calibri" w:cs="Times New Roman"/>
          <w:b/>
          <w:szCs w:val="24"/>
        </w:rPr>
        <w:t>STEM Career</w:t>
      </w:r>
      <w:r w:rsidRPr="00F81518">
        <w:rPr>
          <w:rFonts w:eastAsia="Calibri" w:cs="Times New Roman"/>
          <w:szCs w:val="24"/>
        </w:rPr>
        <w:t xml:space="preserve">. In the 2007 questionnaire, respondents were asked about the industry of their current occupation. LSAY created a dichotomous variable to indicate whether or not the respondent was currently employed in a STEM occupation (such engineering) or not. </w:t>
      </w:r>
      <w:r>
        <w:rPr>
          <w:szCs w:val="24"/>
        </w:rPr>
        <w:t>T</w:t>
      </w:r>
      <w:r>
        <w:rPr>
          <w:rFonts w:eastAsia="Calibri" w:cs="Times New Roman"/>
          <w:szCs w:val="24"/>
        </w:rPr>
        <w:t>he particular definition of a STEM career used as an outcome variable in this study includes the full range of STEM</w:t>
      </w:r>
      <w:r w:rsidRPr="00B50727">
        <w:rPr>
          <w:rFonts w:eastAsia="Calibri" w:cs="Times New Roman"/>
          <w:szCs w:val="24"/>
        </w:rPr>
        <w:t xml:space="preserve"> occupations but</w:t>
      </w:r>
      <w:r>
        <w:rPr>
          <w:rFonts w:eastAsia="Calibri" w:cs="Times New Roman"/>
          <w:szCs w:val="24"/>
        </w:rPr>
        <w:t xml:space="preserve"> excludes social science occupations.</w:t>
      </w:r>
      <w:r>
        <w:rPr>
          <w:szCs w:val="24"/>
        </w:rPr>
        <w:t xml:space="preserve"> </w:t>
      </w:r>
      <w:r>
        <w:rPr>
          <w:rFonts w:eastAsia="Calibri" w:cs="Times New Roman"/>
          <w:szCs w:val="24"/>
        </w:rPr>
        <w:t xml:space="preserve">Fifteen percent </w:t>
      </w:r>
      <w:r w:rsidR="00F23D33">
        <w:rPr>
          <w:rFonts w:eastAsia="Calibri" w:cs="Times New Roman"/>
          <w:szCs w:val="24"/>
        </w:rPr>
        <w:t>(</w:t>
      </w:r>
      <w:r w:rsidR="00F23D33" w:rsidRPr="00F23D33">
        <w:rPr>
          <w:rFonts w:eastAsia="Calibri" w:cs="Times New Roman"/>
          <w:i/>
          <w:szCs w:val="24"/>
        </w:rPr>
        <w:t>n</w:t>
      </w:r>
      <w:r w:rsidR="00F23D33">
        <w:rPr>
          <w:rFonts w:eastAsia="Calibri" w:cs="Times New Roman"/>
          <w:szCs w:val="24"/>
        </w:rPr>
        <w:t xml:space="preserve"> = 275) </w:t>
      </w:r>
      <w:r>
        <w:rPr>
          <w:rFonts w:eastAsia="Calibri" w:cs="Times New Roman"/>
          <w:szCs w:val="24"/>
        </w:rPr>
        <w:t>of the sample was employed in a STEM or STEM support occupation.</w:t>
      </w:r>
    </w:p>
    <w:p w:rsidR="00C5521F" w:rsidRDefault="00C5521F" w:rsidP="00C5521F">
      <w:pPr>
        <w:autoSpaceDE w:val="0"/>
        <w:autoSpaceDN w:val="0"/>
        <w:adjustRightInd w:val="0"/>
        <w:spacing w:line="480" w:lineRule="auto"/>
        <w:ind w:firstLine="720"/>
        <w:rPr>
          <w:szCs w:val="24"/>
        </w:rPr>
      </w:pPr>
      <w:proofErr w:type="gramStart"/>
      <w:r w:rsidRPr="00C5521F">
        <w:rPr>
          <w:b/>
          <w:szCs w:val="24"/>
        </w:rPr>
        <w:t>Demographics</w:t>
      </w:r>
      <w:r>
        <w:rPr>
          <w:szCs w:val="24"/>
        </w:rPr>
        <w:t>.</w:t>
      </w:r>
      <w:proofErr w:type="gramEnd"/>
      <w:r>
        <w:rPr>
          <w:szCs w:val="24"/>
        </w:rPr>
        <w:t xml:space="preserve"> Students self-reported their gender and ethnicity.</w:t>
      </w:r>
      <w:r w:rsidR="00F23D33">
        <w:rPr>
          <w:szCs w:val="24"/>
        </w:rPr>
        <w:t xml:space="preserve"> There were roughly similar number of males (51%) and females (49%) included. </w:t>
      </w:r>
      <w:r w:rsidR="00D53BF7">
        <w:rPr>
          <w:rFonts w:eastAsia="Calibri" w:cs="Times New Roman"/>
          <w:szCs w:val="24"/>
        </w:rPr>
        <w:t xml:space="preserve">A dichotomous variable </w:t>
      </w:r>
      <w:r w:rsidR="00132E77">
        <w:rPr>
          <w:rFonts w:eastAsia="Calibri" w:cs="Times New Roman"/>
          <w:szCs w:val="24"/>
        </w:rPr>
        <w:t>of ethnicity was created</w:t>
      </w:r>
      <w:r w:rsidR="00D53BF7">
        <w:rPr>
          <w:rFonts w:eastAsia="Calibri" w:cs="Times New Roman"/>
          <w:szCs w:val="24"/>
        </w:rPr>
        <w:t xml:space="preserve">: White and Asian (not underrepresented minority); and African American, Hispanic/Latino, and Native American (underrepresented minorities). This grouping is included because underrepresented minority students have lower representation in STEM careers compared to other students (see for example, Huang, </w:t>
      </w:r>
      <w:proofErr w:type="spellStart"/>
      <w:r w:rsidR="00D53BF7">
        <w:rPr>
          <w:rFonts w:eastAsia="Calibri" w:cs="Times New Roman"/>
          <w:szCs w:val="24"/>
        </w:rPr>
        <w:t>Taddese</w:t>
      </w:r>
      <w:proofErr w:type="spellEnd"/>
      <w:r w:rsidR="00D53BF7">
        <w:rPr>
          <w:rFonts w:eastAsia="Calibri" w:cs="Times New Roman"/>
          <w:szCs w:val="24"/>
        </w:rPr>
        <w:t>, &amp; Walter, 2000</w:t>
      </w:r>
      <w:r w:rsidR="00D53BF7" w:rsidRPr="0055530D">
        <w:rPr>
          <w:rFonts w:eastAsia="Calibri" w:cs="Times New Roman"/>
          <w:szCs w:val="24"/>
        </w:rPr>
        <w:t xml:space="preserve">). </w:t>
      </w:r>
      <w:r w:rsidR="00D53BF7">
        <w:rPr>
          <w:rFonts w:eastAsia="Calibri" w:cs="Times New Roman"/>
          <w:szCs w:val="24"/>
        </w:rPr>
        <w:t>I</w:t>
      </w:r>
      <w:r w:rsidR="00D53BF7" w:rsidRPr="0055530D">
        <w:rPr>
          <w:rFonts w:eastAsia="Calibri" w:cs="Times New Roman"/>
          <w:szCs w:val="24"/>
        </w:rPr>
        <w:t xml:space="preserve">n 2004, </w:t>
      </w:r>
      <w:r w:rsidR="00D53BF7">
        <w:rPr>
          <w:rFonts w:eastAsia="Calibri" w:cs="Times New Roman"/>
          <w:szCs w:val="24"/>
        </w:rPr>
        <w:t xml:space="preserve">for example, </w:t>
      </w:r>
      <w:r w:rsidR="00D53BF7" w:rsidRPr="0055530D">
        <w:rPr>
          <w:rFonts w:eastAsia="Calibri" w:cs="Times New Roman"/>
          <w:szCs w:val="24"/>
        </w:rPr>
        <w:t>African-Americans made up 12.8% of the population, but only 3.1% of engineers identified as African American in that year. Additionally, Hispanics made up 14.1% of the population in 2004, but only 4.9% of engineers identified as Hispanic in 2004 (Nat</w:t>
      </w:r>
      <w:r w:rsidR="00F23D33">
        <w:rPr>
          <w:rFonts w:eastAsia="Calibri" w:cs="Times New Roman"/>
          <w:szCs w:val="24"/>
        </w:rPr>
        <w:t>ional Science Foundation</w:t>
      </w:r>
      <w:r w:rsidR="004E5D96">
        <w:rPr>
          <w:rFonts w:eastAsia="Calibri" w:cs="Times New Roman"/>
          <w:szCs w:val="24"/>
        </w:rPr>
        <w:t xml:space="preserve">, 2005). This sample includes 77% </w:t>
      </w:r>
      <w:r w:rsidR="00F23D33">
        <w:rPr>
          <w:rFonts w:eastAsia="Calibri" w:cs="Times New Roman"/>
          <w:szCs w:val="24"/>
        </w:rPr>
        <w:t>White and Asian students and 23%</w:t>
      </w:r>
      <w:r w:rsidR="004E5D96">
        <w:rPr>
          <w:rFonts w:eastAsia="Calibri" w:cs="Times New Roman"/>
          <w:szCs w:val="24"/>
        </w:rPr>
        <w:t xml:space="preserve"> </w:t>
      </w:r>
      <w:r w:rsidR="00F23D33">
        <w:rPr>
          <w:rFonts w:eastAsia="Calibri" w:cs="Times New Roman"/>
          <w:szCs w:val="24"/>
        </w:rPr>
        <w:t>underrepresented minority students.</w:t>
      </w:r>
    </w:p>
    <w:p w:rsidR="00D50DF6" w:rsidRDefault="00D50DF6" w:rsidP="00D50DF6">
      <w:pPr>
        <w:spacing w:line="480" w:lineRule="auto"/>
        <w:rPr>
          <w:b/>
        </w:rPr>
      </w:pPr>
      <w:r w:rsidRPr="00D50DF6">
        <w:rPr>
          <w:b/>
        </w:rPr>
        <w:lastRenderedPageBreak/>
        <w:t>Analysis</w:t>
      </w:r>
    </w:p>
    <w:p w:rsidR="00384F07" w:rsidRDefault="005F0C37" w:rsidP="00384F07">
      <w:pPr>
        <w:pStyle w:val="Style-11"/>
        <w:widowControl w:val="0"/>
        <w:spacing w:line="480" w:lineRule="auto"/>
        <w:ind w:firstLine="720"/>
        <w:rPr>
          <w:color w:val="000000"/>
          <w:sz w:val="24"/>
          <w:szCs w:val="24"/>
        </w:rPr>
      </w:pPr>
      <w:r w:rsidRPr="00384F07">
        <w:rPr>
          <w:rFonts w:eastAsia="Arial Unicode MS"/>
          <w:sz w:val="24"/>
          <w:szCs w:val="24"/>
        </w:rPr>
        <w:t>Data was analyzed using Latent Class Analysis (LCA</w:t>
      </w:r>
      <w:r w:rsidR="007538E3" w:rsidRPr="00384F07">
        <w:rPr>
          <w:rFonts w:eastAsia="Arial Unicode MS"/>
          <w:sz w:val="24"/>
          <w:szCs w:val="24"/>
        </w:rPr>
        <w:t>)</w:t>
      </w:r>
      <w:r w:rsidRPr="00384F07">
        <w:rPr>
          <w:rFonts w:eastAsia="Arial Unicode MS"/>
          <w:sz w:val="24"/>
          <w:szCs w:val="24"/>
        </w:rPr>
        <w:t xml:space="preserve">, an analytic technique used to classify groups of </w:t>
      </w:r>
      <w:r w:rsidR="00384F07" w:rsidRPr="00384F07">
        <w:rPr>
          <w:rFonts w:eastAsia="Arial Unicode MS"/>
          <w:sz w:val="24"/>
          <w:szCs w:val="24"/>
        </w:rPr>
        <w:t xml:space="preserve">individuals into latent classes based on their responses to the set of indicators </w:t>
      </w:r>
      <w:r w:rsidRPr="00384F07">
        <w:rPr>
          <w:rFonts w:eastAsia="Arial Unicode MS"/>
          <w:sz w:val="24"/>
          <w:szCs w:val="24"/>
        </w:rPr>
        <w:t xml:space="preserve">(Bartholomew, 1987; Collins &amp; </w:t>
      </w:r>
      <w:proofErr w:type="spellStart"/>
      <w:r w:rsidRPr="00384F07">
        <w:rPr>
          <w:rFonts w:eastAsia="Arial Unicode MS"/>
          <w:sz w:val="24"/>
          <w:szCs w:val="24"/>
        </w:rPr>
        <w:t>Lanza</w:t>
      </w:r>
      <w:proofErr w:type="spellEnd"/>
      <w:r w:rsidRPr="00384F07">
        <w:rPr>
          <w:rFonts w:eastAsia="Arial Unicode MS"/>
          <w:sz w:val="24"/>
          <w:szCs w:val="24"/>
        </w:rPr>
        <w:t xml:space="preserve">, 2010; Goodman, 1974; </w:t>
      </w:r>
      <w:proofErr w:type="spellStart"/>
      <w:r w:rsidRPr="00384F07">
        <w:rPr>
          <w:rFonts w:eastAsia="Arial Unicode MS"/>
          <w:sz w:val="24"/>
          <w:szCs w:val="24"/>
        </w:rPr>
        <w:t>Heinen</w:t>
      </w:r>
      <w:proofErr w:type="spellEnd"/>
      <w:r w:rsidRPr="00384F07">
        <w:rPr>
          <w:rFonts w:eastAsia="Arial Unicode MS"/>
          <w:sz w:val="24"/>
          <w:szCs w:val="24"/>
        </w:rPr>
        <w:t xml:space="preserve">, 1996; </w:t>
      </w:r>
      <w:proofErr w:type="spellStart"/>
      <w:r w:rsidRPr="00384F07">
        <w:rPr>
          <w:rFonts w:eastAsia="Arial Unicode MS"/>
          <w:sz w:val="24"/>
          <w:szCs w:val="24"/>
        </w:rPr>
        <w:t>Lazarsfeld</w:t>
      </w:r>
      <w:proofErr w:type="spellEnd"/>
      <w:r w:rsidRPr="00384F07">
        <w:rPr>
          <w:rFonts w:eastAsia="Arial Unicode MS"/>
          <w:sz w:val="24"/>
          <w:szCs w:val="24"/>
        </w:rPr>
        <w:t xml:space="preserve"> &amp; Henry, 1968; </w:t>
      </w:r>
      <w:proofErr w:type="spellStart"/>
      <w:r w:rsidRPr="00384F07">
        <w:rPr>
          <w:rFonts w:eastAsia="Arial Unicode MS"/>
          <w:sz w:val="24"/>
          <w:szCs w:val="24"/>
        </w:rPr>
        <w:t>Muthén</w:t>
      </w:r>
      <w:proofErr w:type="spellEnd"/>
      <w:r w:rsidRPr="00384F07">
        <w:rPr>
          <w:rFonts w:eastAsia="Arial Unicode MS"/>
          <w:sz w:val="24"/>
          <w:szCs w:val="24"/>
        </w:rPr>
        <w:t xml:space="preserve">, 1992, 2001).  </w:t>
      </w:r>
      <w:proofErr w:type="spellStart"/>
      <w:r w:rsidR="00384F07" w:rsidRPr="00384F07">
        <w:rPr>
          <w:color w:val="000000"/>
          <w:sz w:val="24"/>
          <w:szCs w:val="24"/>
        </w:rPr>
        <w:t>LCA</w:t>
      </w:r>
      <w:proofErr w:type="spellEnd"/>
      <w:r w:rsidR="00384F07" w:rsidRPr="00384F07">
        <w:rPr>
          <w:color w:val="000000"/>
          <w:sz w:val="24"/>
          <w:szCs w:val="24"/>
        </w:rPr>
        <w:t xml:space="preserve"> is an exploratory multivariate analysis—that is, there is no </w:t>
      </w:r>
      <w:proofErr w:type="spellStart"/>
      <w:r w:rsidR="00384F07" w:rsidRPr="00384F07">
        <w:rPr>
          <w:color w:val="000000"/>
          <w:sz w:val="24"/>
          <w:szCs w:val="24"/>
        </w:rPr>
        <w:t>apriori</w:t>
      </w:r>
      <w:proofErr w:type="spellEnd"/>
      <w:r w:rsidR="00384F07" w:rsidRPr="00384F07">
        <w:rPr>
          <w:color w:val="000000"/>
          <w:sz w:val="24"/>
          <w:szCs w:val="24"/>
        </w:rPr>
        <w:t xml:space="preserve"> specification of the number or type of classes that emerge. </w:t>
      </w:r>
      <w:proofErr w:type="spellStart"/>
      <w:r w:rsidR="00384F07" w:rsidRPr="00384F07">
        <w:rPr>
          <w:color w:val="000000"/>
          <w:sz w:val="24"/>
          <w:szCs w:val="24"/>
        </w:rPr>
        <w:t>LCA</w:t>
      </w:r>
      <w:proofErr w:type="spellEnd"/>
      <w:r w:rsidR="00384F07" w:rsidRPr="00384F07">
        <w:rPr>
          <w:color w:val="000000"/>
          <w:sz w:val="24"/>
          <w:szCs w:val="24"/>
        </w:rPr>
        <w:t xml:space="preserve"> differs from the more commonly used factor analysis in that factor analysis clusters items and </w:t>
      </w:r>
      <w:proofErr w:type="spellStart"/>
      <w:r w:rsidR="00384F07" w:rsidRPr="00384F07">
        <w:rPr>
          <w:color w:val="000000"/>
          <w:sz w:val="24"/>
          <w:szCs w:val="24"/>
        </w:rPr>
        <w:t>LCA</w:t>
      </w:r>
      <w:proofErr w:type="spellEnd"/>
      <w:r w:rsidR="00384F07" w:rsidRPr="00384F07">
        <w:rPr>
          <w:color w:val="000000"/>
          <w:sz w:val="24"/>
          <w:szCs w:val="24"/>
        </w:rPr>
        <w:t xml:space="preserve"> clusters individuals.  </w:t>
      </w:r>
    </w:p>
    <w:p w:rsidR="00384F07" w:rsidRPr="00514B0B" w:rsidRDefault="00384F07" w:rsidP="00384F07">
      <w:pPr>
        <w:pStyle w:val="NoSpacing"/>
        <w:widowControl w:val="0"/>
        <w:spacing w:line="480" w:lineRule="auto"/>
        <w:ind w:firstLine="720"/>
        <w:rPr>
          <w:rFonts w:cs="Times New Roman"/>
          <w:color w:val="000000"/>
          <w:szCs w:val="24"/>
        </w:rPr>
      </w:pPr>
      <w:r>
        <w:rPr>
          <w:rFonts w:cs="Times New Roman"/>
          <w:color w:val="000000"/>
          <w:szCs w:val="24"/>
        </w:rPr>
        <w:t>Traditionally</w:t>
      </w:r>
      <w:r w:rsidRPr="00CB401B">
        <w:rPr>
          <w:rFonts w:cs="Times New Roman"/>
          <w:color w:val="000000"/>
          <w:szCs w:val="24"/>
        </w:rPr>
        <w:t xml:space="preserve">, </w:t>
      </w:r>
      <w:proofErr w:type="spellStart"/>
      <w:r w:rsidRPr="00CB401B">
        <w:rPr>
          <w:rFonts w:cs="Times New Roman"/>
          <w:color w:val="000000"/>
          <w:szCs w:val="24"/>
        </w:rPr>
        <w:t>LCA</w:t>
      </w:r>
      <w:proofErr w:type="spellEnd"/>
      <w:r w:rsidRPr="00CB401B">
        <w:rPr>
          <w:rFonts w:cs="Times New Roman"/>
          <w:color w:val="000000"/>
          <w:szCs w:val="24"/>
        </w:rPr>
        <w:t xml:space="preserve"> models are fit in a series of steps.  First, a </w:t>
      </w:r>
      <w:r>
        <w:rPr>
          <w:rFonts w:cs="Times New Roman"/>
          <w:color w:val="000000"/>
          <w:szCs w:val="24"/>
        </w:rPr>
        <w:t>one</w:t>
      </w:r>
      <w:r w:rsidRPr="00CB401B">
        <w:rPr>
          <w:rFonts w:cs="Times New Roman"/>
          <w:color w:val="000000"/>
          <w:szCs w:val="24"/>
        </w:rPr>
        <w:t xml:space="preserve">-class model is fit and then the number of classes </w:t>
      </w:r>
      <w:r>
        <w:rPr>
          <w:rFonts w:cs="Times New Roman"/>
          <w:color w:val="000000"/>
          <w:szCs w:val="24"/>
        </w:rPr>
        <w:t>is</w:t>
      </w:r>
      <w:r w:rsidRPr="00CB401B">
        <w:rPr>
          <w:rFonts w:cs="Times New Roman"/>
          <w:color w:val="000000"/>
          <w:szCs w:val="24"/>
        </w:rPr>
        <w:t xml:space="preserve"> increased.  </w:t>
      </w:r>
      <w:r w:rsidRPr="00983A05">
        <w:rPr>
          <w:rFonts w:cs="Times New Roman"/>
          <w:color w:val="000000"/>
          <w:szCs w:val="24"/>
        </w:rPr>
        <w:t xml:space="preserve">The fit of </w:t>
      </w:r>
      <w:r w:rsidRPr="007A10DD">
        <w:rPr>
          <w:rFonts w:cs="Times New Roman"/>
          <w:color w:val="000000"/>
          <w:szCs w:val="24"/>
        </w:rPr>
        <w:t>each new model</w:t>
      </w:r>
      <w:r>
        <w:rPr>
          <w:rFonts w:cs="Times New Roman"/>
          <w:color w:val="000000"/>
          <w:szCs w:val="24"/>
        </w:rPr>
        <w:t xml:space="preserve">, that </w:t>
      </w:r>
      <w:proofErr w:type="spellStart"/>
      <w:r>
        <w:rPr>
          <w:rFonts w:cs="Times New Roman"/>
          <w:color w:val="000000"/>
          <w:szCs w:val="24"/>
        </w:rPr>
        <w:t>difers</w:t>
      </w:r>
      <w:proofErr w:type="spellEnd"/>
      <w:r>
        <w:rPr>
          <w:rFonts w:cs="Times New Roman"/>
          <w:color w:val="000000"/>
          <w:szCs w:val="24"/>
        </w:rPr>
        <w:t xml:space="preserve"> by the specification on one more class,</w:t>
      </w:r>
      <w:r w:rsidRPr="00983A05">
        <w:rPr>
          <w:rFonts w:cs="Times New Roman"/>
          <w:color w:val="000000"/>
          <w:szCs w:val="24"/>
        </w:rPr>
        <w:t xml:space="preserve"> is compared to the previous model.  </w:t>
      </w:r>
      <w:r>
        <w:rPr>
          <w:rFonts w:cs="Times New Roman"/>
          <w:color w:val="000000"/>
          <w:szCs w:val="24"/>
        </w:rPr>
        <w:t xml:space="preserve">With parsimony in mind, a </w:t>
      </w:r>
      <w:r w:rsidRPr="00983A05">
        <w:rPr>
          <w:rFonts w:cs="Times New Roman"/>
          <w:color w:val="000000"/>
          <w:szCs w:val="24"/>
        </w:rPr>
        <w:t xml:space="preserve">model with the greater number of classes is selected only if increasing the number of </w:t>
      </w:r>
      <w:proofErr w:type="gramStart"/>
      <w:r w:rsidRPr="00983A05">
        <w:rPr>
          <w:rFonts w:cs="Times New Roman"/>
          <w:color w:val="000000"/>
          <w:szCs w:val="24"/>
        </w:rPr>
        <w:t>classes</w:t>
      </w:r>
      <w:proofErr w:type="gramEnd"/>
      <w:r w:rsidRPr="00983A05">
        <w:rPr>
          <w:rFonts w:cs="Times New Roman"/>
          <w:color w:val="000000"/>
          <w:szCs w:val="24"/>
        </w:rPr>
        <w:t xml:space="preserve"> results in conceptually meaningful groupings and provides good statistical fit.  In the present analysis, once the number of classes was decided upon, </w:t>
      </w:r>
      <w:r>
        <w:rPr>
          <w:rFonts w:cs="Times New Roman"/>
          <w:color w:val="000000"/>
          <w:szCs w:val="24"/>
        </w:rPr>
        <w:t>covariates (gender, race, and previous math achievement)</w:t>
      </w:r>
      <w:r w:rsidRPr="00983A05">
        <w:rPr>
          <w:rFonts w:cs="Times New Roman"/>
          <w:color w:val="000000"/>
          <w:szCs w:val="24"/>
        </w:rPr>
        <w:t xml:space="preserve"> were included in the model </w:t>
      </w:r>
      <w:r w:rsidRPr="00514B0B">
        <w:rPr>
          <w:rFonts w:cs="Times New Roman"/>
          <w:color w:val="000000"/>
          <w:szCs w:val="24"/>
        </w:rPr>
        <w:t>(</w:t>
      </w:r>
      <w:commentRangeStart w:id="0"/>
      <w:proofErr w:type="spellStart"/>
      <w:r w:rsidRPr="00514B0B">
        <w:rPr>
          <w:rFonts w:cs="Times New Roman"/>
          <w:color w:val="000000"/>
          <w:szCs w:val="24"/>
        </w:rPr>
        <w:t>Nylund</w:t>
      </w:r>
      <w:proofErr w:type="spellEnd"/>
      <w:r>
        <w:rPr>
          <w:rFonts w:cs="Times New Roman"/>
          <w:color w:val="000000"/>
          <w:szCs w:val="24"/>
        </w:rPr>
        <w:t xml:space="preserve">-Gibson &amp; </w:t>
      </w:r>
      <w:proofErr w:type="spellStart"/>
      <w:r>
        <w:rPr>
          <w:rFonts w:cs="Times New Roman"/>
          <w:color w:val="000000"/>
          <w:szCs w:val="24"/>
        </w:rPr>
        <w:t>Masyn</w:t>
      </w:r>
      <w:commentRangeEnd w:id="0"/>
      <w:proofErr w:type="spellEnd"/>
      <w:r>
        <w:rPr>
          <w:rStyle w:val="CommentReference"/>
        </w:rPr>
        <w:commentReference w:id="0"/>
      </w:r>
      <w:r>
        <w:rPr>
          <w:rFonts w:cs="Times New Roman"/>
          <w:color w:val="000000"/>
          <w:szCs w:val="24"/>
        </w:rPr>
        <w:t>, 2011</w:t>
      </w:r>
      <w:r w:rsidRPr="00514B0B">
        <w:rPr>
          <w:rFonts w:cs="Times New Roman"/>
          <w:color w:val="000000"/>
          <w:szCs w:val="24"/>
        </w:rPr>
        <w:t>) and the means of the distal outcomes (</w:t>
      </w:r>
      <w:r w:rsidRPr="00384F07">
        <w:rPr>
          <w:rFonts w:cs="Times New Roman"/>
          <w:color w:val="000000"/>
          <w:szCs w:val="24"/>
          <w:highlight w:val="yellow"/>
        </w:rPr>
        <w:t>STEM and WHAT</w:t>
      </w:r>
      <w:r w:rsidRPr="00514B0B">
        <w:rPr>
          <w:rFonts w:cs="Times New Roman"/>
          <w:color w:val="000000"/>
          <w:szCs w:val="24"/>
        </w:rPr>
        <w:t xml:space="preserve">) were estimated for each class using </w:t>
      </w:r>
      <w:proofErr w:type="spellStart"/>
      <w:r w:rsidRPr="00514B0B">
        <w:rPr>
          <w:rFonts w:cs="Times New Roman"/>
          <w:color w:val="000000"/>
          <w:szCs w:val="24"/>
        </w:rPr>
        <w:t>pseudoclass</w:t>
      </w:r>
      <w:proofErr w:type="spellEnd"/>
      <w:r w:rsidRPr="00514B0B">
        <w:rPr>
          <w:rFonts w:cs="Times New Roman"/>
          <w:color w:val="000000"/>
          <w:szCs w:val="24"/>
        </w:rPr>
        <w:t xml:space="preserve"> draws. </w:t>
      </w:r>
      <w:r>
        <w:rPr>
          <w:rFonts w:cs="Times New Roman"/>
          <w:color w:val="000000"/>
          <w:szCs w:val="24"/>
        </w:rPr>
        <w:t xml:space="preserve"> </w:t>
      </w:r>
      <w:proofErr w:type="spellStart"/>
      <w:r w:rsidRPr="00514B0B">
        <w:rPr>
          <w:rFonts w:cs="Times New Roman"/>
          <w:color w:val="000000"/>
          <w:szCs w:val="24"/>
        </w:rPr>
        <w:t>Pseudoclass</w:t>
      </w:r>
      <w:proofErr w:type="spellEnd"/>
      <w:r w:rsidRPr="00514B0B">
        <w:rPr>
          <w:rFonts w:cs="Times New Roman"/>
          <w:color w:val="000000"/>
          <w:szCs w:val="24"/>
        </w:rPr>
        <w:t xml:space="preserve"> draws are a preferred method for comparing the mean of distal outcomes compared to say a</w:t>
      </w:r>
      <w:r>
        <w:rPr>
          <w:rFonts w:cs="Times New Roman"/>
          <w:color w:val="000000"/>
          <w:szCs w:val="24"/>
        </w:rPr>
        <w:t xml:space="preserve"> regression</w:t>
      </w:r>
      <w:r w:rsidRPr="00514B0B">
        <w:rPr>
          <w:rFonts w:cs="Times New Roman"/>
          <w:color w:val="000000"/>
          <w:szCs w:val="24"/>
        </w:rPr>
        <w:t xml:space="preserve">, </w:t>
      </w:r>
      <w:r>
        <w:rPr>
          <w:rFonts w:cs="Times New Roman"/>
          <w:color w:val="000000"/>
          <w:szCs w:val="24"/>
        </w:rPr>
        <w:t>because this method</w:t>
      </w:r>
      <w:r w:rsidRPr="00514B0B">
        <w:rPr>
          <w:rFonts w:cs="Times New Roman"/>
          <w:color w:val="000000"/>
          <w:szCs w:val="24"/>
        </w:rPr>
        <w:t xml:space="preserve"> takes into account the fact that individuals are not assigned with 100% certainly into each of the latent classes</w:t>
      </w:r>
      <w:r>
        <w:rPr>
          <w:rFonts w:cs="Times New Roman"/>
          <w:color w:val="000000"/>
          <w:szCs w:val="24"/>
        </w:rPr>
        <w:t xml:space="preserve"> (Clark &amp; </w:t>
      </w:r>
      <w:proofErr w:type="spellStart"/>
      <w:r w:rsidRPr="00184831">
        <w:rPr>
          <w:rFonts w:cs="Times New Roman"/>
          <w:szCs w:val="24"/>
        </w:rPr>
        <w:t>Muthén</w:t>
      </w:r>
      <w:proofErr w:type="spellEnd"/>
      <w:r>
        <w:rPr>
          <w:rFonts w:cs="Times New Roman"/>
          <w:color w:val="000000"/>
          <w:szCs w:val="24"/>
        </w:rPr>
        <w:t xml:space="preserve">, 2009).  </w:t>
      </w:r>
      <w:r>
        <w:rPr>
          <w:rFonts w:cs="Times New Roman"/>
          <w:color w:val="000000"/>
          <w:szCs w:val="24"/>
        </w:rPr>
        <w:t xml:space="preserve">The </w:t>
      </w:r>
      <w:r w:rsidRPr="007A10DD">
        <w:rPr>
          <w:rFonts w:cs="Times New Roman"/>
          <w:i/>
          <w:color w:val="000000"/>
          <w:szCs w:val="24"/>
        </w:rPr>
        <w:t>p-</w:t>
      </w:r>
      <w:r w:rsidRPr="007A10DD">
        <w:rPr>
          <w:rFonts w:cs="Times New Roman"/>
          <w:color w:val="000000"/>
          <w:szCs w:val="24"/>
        </w:rPr>
        <w:t xml:space="preserve">values from a series of pairwise Wald tests </w:t>
      </w:r>
      <w:r w:rsidRPr="00514B0B">
        <w:rPr>
          <w:rFonts w:cs="Times New Roman"/>
          <w:color w:val="000000"/>
          <w:szCs w:val="24"/>
        </w:rPr>
        <w:t xml:space="preserve">(e.g., “auxiliary (e)” in </w:t>
      </w:r>
      <w:proofErr w:type="spellStart"/>
      <w:r w:rsidRPr="00514B0B">
        <w:rPr>
          <w:rFonts w:cs="Times New Roman"/>
          <w:color w:val="000000"/>
          <w:szCs w:val="24"/>
        </w:rPr>
        <w:t>M</w:t>
      </w:r>
      <w:r w:rsidRPr="00514B0B">
        <w:rPr>
          <w:rFonts w:cs="Times New Roman"/>
          <w:i/>
          <w:color w:val="000000"/>
          <w:szCs w:val="24"/>
        </w:rPr>
        <w:t>plus</w:t>
      </w:r>
      <w:proofErr w:type="spellEnd"/>
      <w:r w:rsidRPr="00514B0B">
        <w:rPr>
          <w:rFonts w:cs="Times New Roman"/>
          <w:color w:val="000000"/>
          <w:szCs w:val="24"/>
        </w:rPr>
        <w:t>)</w:t>
      </w:r>
      <w:r>
        <w:rPr>
          <w:rFonts w:cs="Times New Roman"/>
          <w:color w:val="000000"/>
          <w:szCs w:val="24"/>
        </w:rPr>
        <w:t xml:space="preserve"> </w:t>
      </w:r>
      <w:r w:rsidRPr="007A10DD">
        <w:rPr>
          <w:rFonts w:cs="Times New Roman"/>
          <w:color w:val="000000"/>
          <w:szCs w:val="24"/>
        </w:rPr>
        <w:t>were used to test for significant differences in means across the five readiness classes based on the</w:t>
      </w:r>
      <w:r>
        <w:rPr>
          <w:rFonts w:cs="Times New Roman"/>
          <w:color w:val="000000"/>
          <w:szCs w:val="24"/>
        </w:rPr>
        <w:t xml:space="preserve"> means from the</w:t>
      </w:r>
      <w:r w:rsidRPr="007A10DD">
        <w:rPr>
          <w:rFonts w:cs="Times New Roman"/>
          <w:color w:val="000000"/>
          <w:szCs w:val="24"/>
        </w:rPr>
        <w:t xml:space="preserve"> </w:t>
      </w:r>
      <w:proofErr w:type="spellStart"/>
      <w:r w:rsidRPr="007A10DD">
        <w:rPr>
          <w:rFonts w:cs="Times New Roman"/>
          <w:color w:val="000000"/>
          <w:szCs w:val="24"/>
        </w:rPr>
        <w:t>pseudoclass</w:t>
      </w:r>
      <w:proofErr w:type="spellEnd"/>
      <w:r w:rsidRPr="007A10DD">
        <w:rPr>
          <w:rFonts w:cs="Times New Roman"/>
          <w:color w:val="000000"/>
          <w:szCs w:val="24"/>
        </w:rPr>
        <w:t xml:space="preserve"> draws (see</w:t>
      </w:r>
      <w:r w:rsidRPr="00514B0B">
        <w:rPr>
          <w:rFonts w:cs="Times New Roman"/>
          <w:i/>
          <w:color w:val="000000"/>
          <w:szCs w:val="24"/>
        </w:rPr>
        <w:t xml:space="preserve"> </w:t>
      </w:r>
      <w:proofErr w:type="spellStart"/>
      <w:r w:rsidRPr="005D5BDF">
        <w:rPr>
          <w:rFonts w:cs="Times New Roman"/>
          <w:szCs w:val="24"/>
        </w:rPr>
        <w:t>Muthén</w:t>
      </w:r>
      <w:proofErr w:type="spellEnd"/>
      <w:r w:rsidRPr="005D5BDF">
        <w:rPr>
          <w:rFonts w:cs="Times New Roman"/>
          <w:szCs w:val="24"/>
        </w:rPr>
        <w:t xml:space="preserve"> &amp; </w:t>
      </w:r>
      <w:proofErr w:type="spellStart"/>
      <w:r w:rsidRPr="005D5BDF">
        <w:rPr>
          <w:rFonts w:cs="Times New Roman"/>
          <w:szCs w:val="24"/>
        </w:rPr>
        <w:t>Asparouhov</w:t>
      </w:r>
      <w:proofErr w:type="spellEnd"/>
      <w:r w:rsidRPr="005D5BDF">
        <w:rPr>
          <w:rFonts w:cs="Times New Roman"/>
          <w:szCs w:val="24"/>
        </w:rPr>
        <w:t>, 20</w:t>
      </w:r>
      <w:r>
        <w:rPr>
          <w:rFonts w:cs="Times New Roman"/>
          <w:szCs w:val="24"/>
        </w:rPr>
        <w:t>10</w:t>
      </w:r>
      <w:r w:rsidRPr="005D5BDF">
        <w:rPr>
          <w:rFonts w:cs="Times New Roman"/>
          <w:szCs w:val="24"/>
        </w:rPr>
        <w:t>)</w:t>
      </w:r>
      <w:r w:rsidRPr="00044C5B">
        <w:rPr>
          <w:rFonts w:cs="Times New Roman"/>
          <w:color w:val="000000"/>
          <w:szCs w:val="24"/>
        </w:rPr>
        <w:t>.</w:t>
      </w:r>
    </w:p>
    <w:p w:rsidR="00384F07" w:rsidRPr="00514B0B" w:rsidRDefault="00384F07" w:rsidP="00384F07">
      <w:pPr>
        <w:pStyle w:val="NoSpacing"/>
        <w:widowControl w:val="0"/>
        <w:spacing w:line="480" w:lineRule="auto"/>
        <w:ind w:firstLine="720"/>
        <w:rPr>
          <w:rFonts w:cs="Times New Roman"/>
        </w:rPr>
      </w:pPr>
      <w:r w:rsidRPr="00CB401B">
        <w:rPr>
          <w:rFonts w:cs="Times New Roman"/>
        </w:rPr>
        <w:t xml:space="preserve">In </w:t>
      </w:r>
      <w:r>
        <w:rPr>
          <w:rFonts w:cs="Times New Roman"/>
        </w:rPr>
        <w:t xml:space="preserve">this </w:t>
      </w:r>
      <w:proofErr w:type="spellStart"/>
      <w:r w:rsidRPr="00CB401B">
        <w:rPr>
          <w:rFonts w:cs="Times New Roman"/>
        </w:rPr>
        <w:t>LCA</w:t>
      </w:r>
      <w:proofErr w:type="spellEnd"/>
      <w:r>
        <w:rPr>
          <w:rFonts w:cs="Times New Roman"/>
        </w:rPr>
        <w:t xml:space="preserve"> application</w:t>
      </w:r>
      <w:r w:rsidRPr="00CB401B">
        <w:rPr>
          <w:rFonts w:cs="Times New Roman"/>
        </w:rPr>
        <w:t xml:space="preserve">, several indicators of model fit were used </w:t>
      </w:r>
      <w:r>
        <w:rPr>
          <w:rFonts w:cs="Times New Roman"/>
        </w:rPr>
        <w:t xml:space="preserve">since there is </w:t>
      </w:r>
      <w:r w:rsidRPr="00CB401B">
        <w:rPr>
          <w:rFonts w:cs="Times New Roman"/>
        </w:rPr>
        <w:t xml:space="preserve">no single </w:t>
      </w:r>
      <w:r w:rsidRPr="00CB401B">
        <w:rPr>
          <w:rFonts w:cs="Times New Roman"/>
        </w:rPr>
        <w:lastRenderedPageBreak/>
        <w:t>statistical indicator is recommended to assess model fit.  We used a combination of statistical indicators and substantive theory to decide on the best fitting model (</w:t>
      </w:r>
      <w:proofErr w:type="spellStart"/>
      <w:r w:rsidRPr="00CB401B">
        <w:rPr>
          <w:rFonts w:cs="Times New Roman"/>
        </w:rPr>
        <w:t>Nylund</w:t>
      </w:r>
      <w:proofErr w:type="spellEnd"/>
      <w:r w:rsidRPr="00CB401B">
        <w:rPr>
          <w:rFonts w:cs="Times New Roman"/>
        </w:rPr>
        <w:t xml:space="preserve">, </w:t>
      </w:r>
      <w:proofErr w:type="spellStart"/>
      <w:r w:rsidRPr="00CB401B">
        <w:rPr>
          <w:rFonts w:cs="Times New Roman"/>
        </w:rPr>
        <w:t>Asparouhov</w:t>
      </w:r>
      <w:proofErr w:type="spellEnd"/>
      <w:r w:rsidRPr="00CB401B">
        <w:rPr>
          <w:rFonts w:cs="Times New Roman"/>
        </w:rPr>
        <w:t xml:space="preserve">, &amp; </w:t>
      </w:r>
      <w:proofErr w:type="spellStart"/>
      <w:r w:rsidRPr="00CB401B">
        <w:rPr>
          <w:rFonts w:cs="Times New Roman"/>
        </w:rPr>
        <w:t>Muthén</w:t>
      </w:r>
      <w:proofErr w:type="spellEnd"/>
      <w:r w:rsidRPr="00CB401B">
        <w:rPr>
          <w:rFonts w:cs="Times New Roman"/>
        </w:rPr>
        <w:t>, 2007).  The Bayesian Information Criterion (</w:t>
      </w:r>
      <w:proofErr w:type="spellStart"/>
      <w:r w:rsidRPr="00CB401B">
        <w:rPr>
          <w:rFonts w:cs="Times New Roman"/>
        </w:rPr>
        <w:t>BIC</w:t>
      </w:r>
      <w:proofErr w:type="spellEnd"/>
      <w:r w:rsidRPr="00CB401B">
        <w:rPr>
          <w:rFonts w:cs="Times New Roman"/>
        </w:rPr>
        <w:t xml:space="preserve">; Schwartz, 1978), the most commonly used and trusted fit indices for model comparison was used, where lower values of the </w:t>
      </w:r>
      <w:proofErr w:type="spellStart"/>
      <w:r w:rsidRPr="00CB401B">
        <w:rPr>
          <w:rFonts w:cs="Times New Roman"/>
        </w:rPr>
        <w:t>BIC</w:t>
      </w:r>
      <w:proofErr w:type="spellEnd"/>
      <w:r w:rsidRPr="00CB401B">
        <w:rPr>
          <w:rFonts w:cs="Times New Roman"/>
        </w:rPr>
        <w:t xml:space="preserve"> indicated better fit.  Along with the </w:t>
      </w:r>
      <w:proofErr w:type="spellStart"/>
      <w:r w:rsidRPr="00CB401B">
        <w:rPr>
          <w:rFonts w:cs="Times New Roman"/>
        </w:rPr>
        <w:t>BIC</w:t>
      </w:r>
      <w:proofErr w:type="spellEnd"/>
      <w:r w:rsidRPr="00CB401B">
        <w:rPr>
          <w:rFonts w:cs="Times New Roman"/>
        </w:rPr>
        <w:t xml:space="preserve">, we compared models that differed in the number of classes using the </w:t>
      </w:r>
      <w:r>
        <w:rPr>
          <w:rFonts w:cs="Times New Roman"/>
        </w:rPr>
        <w:t>Lo-</w:t>
      </w:r>
      <w:proofErr w:type="spellStart"/>
      <w:r>
        <w:rPr>
          <w:rFonts w:cs="Times New Roman"/>
        </w:rPr>
        <w:t>Mendell</w:t>
      </w:r>
      <w:proofErr w:type="spellEnd"/>
      <w:r>
        <w:rPr>
          <w:rFonts w:cs="Times New Roman"/>
        </w:rPr>
        <w:t>-Rubin (</w:t>
      </w:r>
      <w:proofErr w:type="spellStart"/>
      <w:r>
        <w:rPr>
          <w:rFonts w:cs="Times New Roman"/>
        </w:rPr>
        <w:t>LMR</w:t>
      </w:r>
      <w:proofErr w:type="spellEnd"/>
      <w:r>
        <w:rPr>
          <w:rFonts w:cs="Times New Roman"/>
        </w:rPr>
        <w:t xml:space="preserve">) and the </w:t>
      </w:r>
      <w:r w:rsidRPr="00CB401B">
        <w:rPr>
          <w:rFonts w:cs="Times New Roman"/>
        </w:rPr>
        <w:t>bootstrap likelihood ratio test (</w:t>
      </w:r>
      <w:proofErr w:type="spellStart"/>
      <w:r w:rsidRPr="00CB401B">
        <w:rPr>
          <w:rFonts w:cs="Times New Roman"/>
        </w:rPr>
        <w:t>BLRT</w:t>
      </w:r>
      <w:proofErr w:type="spellEnd"/>
      <w:r w:rsidRPr="00CB401B">
        <w:rPr>
          <w:rFonts w:cs="Times New Roman"/>
        </w:rPr>
        <w:t>) to evaluate if adding an additional class significantly improved model fit (</w:t>
      </w:r>
      <w:r>
        <w:rPr>
          <w:rFonts w:cs="Times New Roman"/>
        </w:rPr>
        <w:t xml:space="preserve">for more on these fit indices see </w:t>
      </w:r>
      <w:proofErr w:type="spellStart"/>
      <w:r w:rsidRPr="00CB401B">
        <w:rPr>
          <w:rFonts w:cs="Times New Roman"/>
        </w:rPr>
        <w:t>Nylund</w:t>
      </w:r>
      <w:proofErr w:type="spellEnd"/>
      <w:r w:rsidRPr="00CB401B">
        <w:rPr>
          <w:rFonts w:cs="Times New Roman"/>
        </w:rPr>
        <w:t xml:space="preserve"> et al.</w:t>
      </w:r>
      <w:r>
        <w:rPr>
          <w:rFonts w:cs="Times New Roman"/>
        </w:rPr>
        <w:t xml:space="preserve"> [</w:t>
      </w:r>
      <w:r w:rsidRPr="00CB401B">
        <w:rPr>
          <w:rFonts w:cs="Times New Roman"/>
        </w:rPr>
        <w:t>2007</w:t>
      </w:r>
      <w:r>
        <w:rPr>
          <w:rFonts w:cs="Times New Roman"/>
        </w:rPr>
        <w:t>]</w:t>
      </w:r>
      <w:r w:rsidRPr="00CB401B">
        <w:rPr>
          <w:rFonts w:cs="Times New Roman"/>
        </w:rPr>
        <w:t xml:space="preserve">).  The entropy of </w:t>
      </w:r>
      <w:r w:rsidRPr="00641BF5">
        <w:rPr>
          <w:rFonts w:cs="Times New Roman"/>
        </w:rPr>
        <w:t>the final model selected is reported</w:t>
      </w:r>
      <w:r w:rsidRPr="00983A05">
        <w:rPr>
          <w:rFonts w:cs="Times New Roman"/>
        </w:rPr>
        <w:t xml:space="preserve"> in the text, but not used for model fit</w:t>
      </w:r>
      <w:r w:rsidRPr="007A10DD">
        <w:rPr>
          <w:rFonts w:cs="Times New Roman"/>
        </w:rPr>
        <w:t xml:space="preserve"> because it describes the overall classification of students into the latent classes.  Entropy ranges between 0 and 1, where 1 is perfect classification and values </w:t>
      </w:r>
      <w:r w:rsidRPr="00514B0B">
        <w:rPr>
          <w:rFonts w:cs="Times New Roman"/>
        </w:rPr>
        <w:t>approaching 1 indicate clear delineation of classes (</w:t>
      </w:r>
      <w:proofErr w:type="spellStart"/>
      <w:r w:rsidRPr="0078224E">
        <w:rPr>
          <w:rFonts w:cs="Times New Roman"/>
        </w:rPr>
        <w:t>Celeux</w:t>
      </w:r>
      <w:proofErr w:type="spellEnd"/>
      <w:r w:rsidRPr="0078224E">
        <w:rPr>
          <w:rFonts w:cs="Times New Roman"/>
        </w:rPr>
        <w:t xml:space="preserve"> &amp; </w:t>
      </w:r>
      <w:proofErr w:type="spellStart"/>
      <w:r w:rsidRPr="0078224E">
        <w:rPr>
          <w:rFonts w:cs="Times New Roman"/>
        </w:rPr>
        <w:t>Soromenho</w:t>
      </w:r>
      <w:proofErr w:type="spellEnd"/>
      <w:r w:rsidRPr="0078224E">
        <w:rPr>
          <w:rFonts w:cs="Times New Roman"/>
        </w:rPr>
        <w:t xml:space="preserve">, 1996). </w:t>
      </w:r>
      <w:r w:rsidRPr="00514B0B">
        <w:rPr>
          <w:rFonts w:cs="Times New Roman"/>
        </w:rPr>
        <w:t xml:space="preserve"> </w:t>
      </w:r>
    </w:p>
    <w:p w:rsidR="00384F07" w:rsidRPr="00514B0B" w:rsidRDefault="00384F07" w:rsidP="00384F07">
      <w:pPr>
        <w:pStyle w:val="NoSpacing"/>
        <w:widowControl w:val="0"/>
        <w:spacing w:line="480" w:lineRule="auto"/>
        <w:ind w:firstLine="720"/>
        <w:rPr>
          <w:rFonts w:cs="Times New Roman"/>
        </w:rPr>
      </w:pPr>
      <w:r w:rsidRPr="0078224E">
        <w:rPr>
          <w:rFonts w:cs="Times New Roman"/>
        </w:rPr>
        <w:t xml:space="preserve">Two quasi-Bayesian information-heuristic model fit comparisons, both functions of the individual model </w:t>
      </w:r>
      <w:proofErr w:type="spellStart"/>
      <w:r w:rsidRPr="0078224E">
        <w:rPr>
          <w:rFonts w:cs="Times New Roman"/>
        </w:rPr>
        <w:t>BIC</w:t>
      </w:r>
      <w:proofErr w:type="spellEnd"/>
      <w:r w:rsidRPr="0078224E">
        <w:rPr>
          <w:rFonts w:cs="Times New Roman"/>
        </w:rPr>
        <w:t xml:space="preserve"> values, are also included that have shown promise in latent class growth model selection (</w:t>
      </w:r>
      <w:proofErr w:type="spellStart"/>
      <w:r w:rsidRPr="0078224E">
        <w:rPr>
          <w:rFonts w:cs="Times New Roman"/>
        </w:rPr>
        <w:t>Nagin</w:t>
      </w:r>
      <w:proofErr w:type="spellEnd"/>
      <w:r w:rsidRPr="0078224E">
        <w:rPr>
          <w:rFonts w:cs="Times New Roman"/>
        </w:rPr>
        <w:t>, 1999)</w:t>
      </w:r>
      <w:r w:rsidRPr="00321ADB">
        <w:rPr>
          <w:rFonts w:cs="Times New Roman"/>
        </w:rPr>
        <w:t xml:space="preserve"> and have been proposed for use with latent class analysis (</w:t>
      </w:r>
      <w:proofErr w:type="spellStart"/>
      <w:r w:rsidRPr="00321ADB">
        <w:rPr>
          <w:rFonts w:cs="Times New Roman"/>
        </w:rPr>
        <w:t>Masyn</w:t>
      </w:r>
      <w:proofErr w:type="spellEnd"/>
      <w:r w:rsidRPr="00321ADB">
        <w:rPr>
          <w:rFonts w:cs="Times New Roman"/>
        </w:rPr>
        <w:t>, 2012).  The Bayes Factor (</w:t>
      </w:r>
      <w:r w:rsidRPr="00CB401B">
        <w:rPr>
          <w:rFonts w:cs="Times New Roman"/>
          <w:i/>
        </w:rPr>
        <w:t>BF</w:t>
      </w:r>
      <w:r w:rsidRPr="00514B0B">
        <w:rPr>
          <w:rFonts w:cs="Times New Roman"/>
        </w:rPr>
        <w:t xml:space="preserve">) is a pairwise comparison of relative fit between two models. </w:t>
      </w:r>
      <w:r>
        <w:rPr>
          <w:rFonts w:cs="Times New Roman"/>
        </w:rPr>
        <w:t xml:space="preserve"> </w:t>
      </w:r>
      <w:r w:rsidRPr="00514B0B">
        <w:rPr>
          <w:rFonts w:cs="Times New Roman"/>
        </w:rPr>
        <w:t xml:space="preserve">In our study, the computed </w:t>
      </w:r>
      <w:r w:rsidRPr="007A10DD">
        <w:rPr>
          <w:rFonts w:cs="Times New Roman"/>
          <w:i/>
        </w:rPr>
        <w:t>BF</w:t>
      </w:r>
      <w:r w:rsidRPr="0078224E">
        <w:rPr>
          <w:rFonts w:cs="Times New Roman"/>
        </w:rPr>
        <w:t xml:space="preserve"> approximates the ratio of the probability </w:t>
      </w:r>
      <w:r w:rsidR="00C506C6">
        <w:rPr>
          <w:rFonts w:cs="Times New Roman"/>
        </w:rPr>
        <w:t>two models</w:t>
      </w:r>
      <w:r w:rsidRPr="00514B0B">
        <w:rPr>
          <w:rFonts w:cs="Times New Roman"/>
        </w:rPr>
        <w:t xml:space="preserve"> unde</w:t>
      </w:r>
      <w:r w:rsidRPr="00892458">
        <w:rPr>
          <w:rFonts w:cs="Times New Roman"/>
        </w:rPr>
        <w:t xml:space="preserve">r the assumption </w:t>
      </w:r>
      <w:r>
        <w:rPr>
          <w:rFonts w:cs="Times New Roman"/>
        </w:rPr>
        <w:t>th</w:t>
      </w:r>
      <w:r w:rsidRPr="00892458">
        <w:rPr>
          <w:rFonts w:cs="Times New Roman"/>
        </w:rPr>
        <w:t xml:space="preserve">at one of the two models being compared is the </w:t>
      </w:r>
      <w:r>
        <w:rPr>
          <w:rFonts w:cs="Times New Roman"/>
        </w:rPr>
        <w:t>“</w:t>
      </w:r>
      <w:r w:rsidRPr="00892458">
        <w:rPr>
          <w:rFonts w:cs="Times New Roman"/>
        </w:rPr>
        <w:t>true</w:t>
      </w:r>
      <w:r>
        <w:rPr>
          <w:rFonts w:cs="Times New Roman"/>
        </w:rPr>
        <w:t>”</w:t>
      </w:r>
      <w:r w:rsidRPr="00892458">
        <w:rPr>
          <w:rFonts w:cs="Times New Roman"/>
        </w:rPr>
        <w:t xml:space="preserve"> model.  The value of the ratio is then compared to the Jeffery’s Scale of Evident (Wasserman, </w:t>
      </w:r>
      <w:r>
        <w:rPr>
          <w:rFonts w:cs="Times New Roman"/>
        </w:rPr>
        <w:t>2000</w:t>
      </w:r>
      <w:r w:rsidRPr="00892458">
        <w:rPr>
          <w:rFonts w:cs="Times New Roman"/>
        </w:rPr>
        <w:t>), for which 1</w:t>
      </w:r>
      <w:r>
        <w:rPr>
          <w:rFonts w:cs="Times New Roman"/>
        </w:rPr>
        <w:t xml:space="preserve"> </w:t>
      </w:r>
      <w:r w:rsidRPr="00892458">
        <w:rPr>
          <w:rFonts w:cs="Times New Roman"/>
        </w:rPr>
        <w:t>&lt;</w:t>
      </w:r>
      <w:r>
        <w:rPr>
          <w:rFonts w:cs="Times New Roman"/>
        </w:rPr>
        <w:t xml:space="preserve"> </w:t>
      </w:r>
      <w:r w:rsidRPr="00892458">
        <w:rPr>
          <w:rFonts w:cs="Times New Roman"/>
        </w:rPr>
        <w:t xml:space="preserve"> </w:t>
      </w:r>
      <w:r w:rsidRPr="00CB401B">
        <w:rPr>
          <w:rFonts w:cs="Times New Roman"/>
          <w:i/>
        </w:rPr>
        <w:t>BF</w:t>
      </w:r>
      <w:r>
        <w:rPr>
          <w:rFonts w:cs="Times New Roman"/>
          <w:i/>
        </w:rPr>
        <w:t xml:space="preserve"> </w:t>
      </w:r>
      <w:r w:rsidRPr="00CB401B">
        <w:rPr>
          <w:rFonts w:cs="Times New Roman"/>
        </w:rPr>
        <w:t xml:space="preserve">&lt; </w:t>
      </w:r>
      <w:r>
        <w:rPr>
          <w:rFonts w:cs="Times New Roman"/>
        </w:rPr>
        <w:t xml:space="preserve"> </w:t>
      </w:r>
      <w:r w:rsidRPr="00CB401B">
        <w:rPr>
          <w:rFonts w:cs="Times New Roman"/>
        </w:rPr>
        <w:t xml:space="preserve">3 is considered weak evidence for Model </w:t>
      </w:r>
      <w:r w:rsidRPr="00CB401B">
        <w:rPr>
          <w:rFonts w:cs="Times New Roman"/>
          <w:i/>
        </w:rPr>
        <w:t>K</w:t>
      </w:r>
      <w:r w:rsidRPr="00514B0B">
        <w:rPr>
          <w:rFonts w:cs="Times New Roman"/>
        </w:rPr>
        <w:t xml:space="preserve"> over Model </w:t>
      </w:r>
      <w:r w:rsidRPr="00CB401B">
        <w:rPr>
          <w:rFonts w:cs="Times New Roman"/>
          <w:i/>
        </w:rPr>
        <w:t>K</w:t>
      </w:r>
      <w:r>
        <w:rPr>
          <w:rFonts w:cs="Times New Roman"/>
          <w:i/>
        </w:rPr>
        <w:t xml:space="preserve"> </w:t>
      </w:r>
      <w:r w:rsidRPr="00CB401B">
        <w:rPr>
          <w:rFonts w:cs="Times New Roman"/>
          <w:i/>
        </w:rPr>
        <w:t>+1</w:t>
      </w:r>
      <w:r>
        <w:rPr>
          <w:rFonts w:cs="Times New Roman"/>
        </w:rPr>
        <w:t xml:space="preserve">, </w:t>
      </w:r>
      <w:r w:rsidRPr="00514B0B">
        <w:rPr>
          <w:rFonts w:cs="Times New Roman"/>
        </w:rPr>
        <w:t xml:space="preserve">3 &lt; </w:t>
      </w:r>
      <w:r w:rsidRPr="00892458">
        <w:rPr>
          <w:rFonts w:cs="Times New Roman"/>
          <w:i/>
        </w:rPr>
        <w:t>BF</w:t>
      </w:r>
      <w:r w:rsidRPr="00892458">
        <w:rPr>
          <w:rFonts w:cs="Times New Roman"/>
        </w:rPr>
        <w:t xml:space="preserve"> &lt;</w:t>
      </w:r>
      <w:r>
        <w:rPr>
          <w:rFonts w:cs="Times New Roman"/>
        </w:rPr>
        <w:t xml:space="preserve"> </w:t>
      </w:r>
      <w:r w:rsidRPr="00892458">
        <w:rPr>
          <w:rFonts w:cs="Times New Roman"/>
        </w:rPr>
        <w:t xml:space="preserve">10 is moderate evidence for Model </w:t>
      </w:r>
      <w:r w:rsidRPr="00CB401B">
        <w:rPr>
          <w:rFonts w:cs="Times New Roman"/>
          <w:i/>
        </w:rPr>
        <w:t>K</w:t>
      </w:r>
      <w:r w:rsidRPr="00514B0B">
        <w:rPr>
          <w:rFonts w:cs="Times New Roman"/>
        </w:rPr>
        <w:t xml:space="preserve">, and </w:t>
      </w:r>
      <w:r w:rsidRPr="00892458">
        <w:rPr>
          <w:rFonts w:cs="Times New Roman"/>
          <w:i/>
        </w:rPr>
        <w:t>BF</w:t>
      </w:r>
      <w:r>
        <w:rPr>
          <w:rFonts w:cs="Times New Roman"/>
          <w:i/>
        </w:rPr>
        <w:t xml:space="preserve"> </w:t>
      </w:r>
      <w:r w:rsidRPr="00892458">
        <w:rPr>
          <w:rFonts w:cs="Times New Roman"/>
        </w:rPr>
        <w:t xml:space="preserve"> &gt; 10 is strong evidence for Model </w:t>
      </w:r>
      <w:r w:rsidRPr="000B6E20">
        <w:rPr>
          <w:rFonts w:cs="Times New Roman"/>
          <w:i/>
        </w:rPr>
        <w:t>K</w:t>
      </w:r>
      <w:r w:rsidRPr="00892458">
        <w:rPr>
          <w:rFonts w:cs="Times New Roman"/>
        </w:rPr>
        <w:t>.  The other comparison is the approximate correct model probability (</w:t>
      </w:r>
      <w:proofErr w:type="spellStart"/>
      <w:r w:rsidRPr="00757EBC">
        <w:rPr>
          <w:rFonts w:cs="Times New Roman"/>
          <w:i/>
        </w:rPr>
        <w:t>cmP</w:t>
      </w:r>
      <w:proofErr w:type="spellEnd"/>
      <w:r w:rsidRPr="00892458">
        <w:rPr>
          <w:rFonts w:cs="Times New Roman"/>
        </w:rPr>
        <w:t>), which estimates the probability that each model out of a given set of latent class models being consid</w:t>
      </w:r>
      <w:r w:rsidRPr="007A10DD">
        <w:rPr>
          <w:rFonts w:cs="Times New Roman"/>
        </w:rPr>
        <w:t xml:space="preserve">ered is correct, under the assumption that the </w:t>
      </w:r>
      <w:r>
        <w:rPr>
          <w:rFonts w:cs="Times New Roman"/>
        </w:rPr>
        <w:t>“</w:t>
      </w:r>
      <w:r w:rsidRPr="007A10DD">
        <w:rPr>
          <w:rFonts w:cs="Times New Roman"/>
        </w:rPr>
        <w:t>true</w:t>
      </w:r>
      <w:r>
        <w:rPr>
          <w:rFonts w:cs="Times New Roman"/>
        </w:rPr>
        <w:t>”</w:t>
      </w:r>
      <w:r w:rsidRPr="007A10DD">
        <w:rPr>
          <w:rFonts w:cs="Times New Roman"/>
        </w:rPr>
        <w:t xml:space="preserve"> model is contained within that same set of models; thus, the </w:t>
      </w:r>
      <w:proofErr w:type="spellStart"/>
      <w:r w:rsidRPr="00757EBC">
        <w:rPr>
          <w:rFonts w:cs="Times New Roman"/>
          <w:i/>
        </w:rPr>
        <w:t>cmP</w:t>
      </w:r>
      <w:proofErr w:type="spellEnd"/>
      <w:r w:rsidRPr="007A10DD">
        <w:rPr>
          <w:rFonts w:cs="Times New Roman"/>
        </w:rPr>
        <w:t xml:space="preserve"> values across the </w:t>
      </w:r>
      <w:r w:rsidRPr="007A10DD">
        <w:rPr>
          <w:rFonts w:cs="Times New Roman"/>
        </w:rPr>
        <w:lastRenderedPageBreak/>
        <w:t>giv</w:t>
      </w:r>
      <w:r>
        <w:rPr>
          <w:rFonts w:cs="Times New Roman"/>
        </w:rPr>
        <w:t xml:space="preserve">en set of models sum to 1.00.  </w:t>
      </w:r>
      <w:r w:rsidRPr="0078224E">
        <w:rPr>
          <w:rFonts w:cs="Times New Roman"/>
        </w:rPr>
        <w:t xml:space="preserve">The model with the largest </w:t>
      </w:r>
      <w:proofErr w:type="spellStart"/>
      <w:r w:rsidRPr="00757EBC">
        <w:rPr>
          <w:rFonts w:cs="Times New Roman"/>
          <w:i/>
        </w:rPr>
        <w:t>cmP</w:t>
      </w:r>
      <w:proofErr w:type="spellEnd"/>
      <w:r w:rsidRPr="0078224E">
        <w:rPr>
          <w:rFonts w:cs="Times New Roman"/>
        </w:rPr>
        <w:t xml:space="preserve"> value is then the model that has the highest probably of being the correct model among the set of models under consideration.  </w:t>
      </w:r>
      <w:r>
        <w:rPr>
          <w:rFonts w:cs="Times New Roman"/>
        </w:rPr>
        <w:t xml:space="preserve">See </w:t>
      </w:r>
      <w:proofErr w:type="spellStart"/>
      <w:r>
        <w:rPr>
          <w:rFonts w:cs="Times New Roman"/>
        </w:rPr>
        <w:t>Maysn</w:t>
      </w:r>
      <w:proofErr w:type="spellEnd"/>
      <w:r>
        <w:rPr>
          <w:rFonts w:cs="Times New Roman"/>
        </w:rPr>
        <w:t xml:space="preserve"> (2012) f</w:t>
      </w:r>
      <w:r w:rsidRPr="0078224E">
        <w:rPr>
          <w:rFonts w:cs="Times New Roman"/>
        </w:rPr>
        <w:t>or more on these two fit comparisons and their calculations.</w:t>
      </w:r>
    </w:p>
    <w:p w:rsidR="00D50DF6" w:rsidRDefault="00D50DF6" w:rsidP="00D50DF6">
      <w:pPr>
        <w:spacing w:line="480" w:lineRule="auto"/>
        <w:jc w:val="center"/>
        <w:rPr>
          <w:b/>
        </w:rPr>
      </w:pPr>
      <w:r w:rsidRPr="00D50DF6">
        <w:rPr>
          <w:b/>
        </w:rPr>
        <w:t>Results</w:t>
      </w:r>
      <w:r w:rsidR="00124E0F">
        <w:rPr>
          <w:b/>
        </w:rPr>
        <w:t xml:space="preserve"> (2 pages)</w:t>
      </w:r>
    </w:p>
    <w:p w:rsidR="00ED51B1" w:rsidRPr="00983A05" w:rsidRDefault="00ED51B1" w:rsidP="00ED51B1">
      <w:pPr>
        <w:widowControl w:val="0"/>
        <w:spacing w:line="480" w:lineRule="auto"/>
        <w:ind w:firstLine="720"/>
        <w:rPr>
          <w:rFonts w:cs="Times New Roman"/>
        </w:rPr>
      </w:pPr>
      <w:r w:rsidRPr="00983A05">
        <w:rPr>
          <w:rFonts w:cs="Times New Roman"/>
        </w:rPr>
        <w:t xml:space="preserve">The results are divided into three sections: (a) identifying the </w:t>
      </w:r>
      <w:r>
        <w:rPr>
          <w:rFonts w:cs="Times New Roman"/>
        </w:rPr>
        <w:t xml:space="preserve">attitudinal </w:t>
      </w:r>
      <w:r w:rsidRPr="00983A05">
        <w:rPr>
          <w:rFonts w:cs="Times New Roman"/>
        </w:rPr>
        <w:t xml:space="preserve">profile groups (latent classes), (b) assessing </w:t>
      </w:r>
      <w:r>
        <w:rPr>
          <w:rFonts w:cs="Times New Roman"/>
        </w:rPr>
        <w:t xml:space="preserve">attitudinal </w:t>
      </w:r>
      <w:r w:rsidRPr="00983A05">
        <w:rPr>
          <w:rFonts w:cs="Times New Roman"/>
        </w:rPr>
        <w:t xml:space="preserve">group differences with respect to </w:t>
      </w:r>
      <w:r>
        <w:rPr>
          <w:rFonts w:cs="Times New Roman"/>
        </w:rPr>
        <w:t>the covariates</w:t>
      </w:r>
      <w:r w:rsidRPr="00983A05">
        <w:rPr>
          <w:rFonts w:cs="Times New Roman"/>
        </w:rPr>
        <w:t xml:space="preserve">, and (c) assessing the </w:t>
      </w:r>
      <w:r>
        <w:rPr>
          <w:rFonts w:cs="Times New Roman"/>
        </w:rPr>
        <w:t xml:space="preserve">attitudinal </w:t>
      </w:r>
      <w:r w:rsidRPr="00983A05">
        <w:rPr>
          <w:rFonts w:cs="Times New Roman"/>
        </w:rPr>
        <w:t xml:space="preserve">profiles with respect </w:t>
      </w:r>
      <w:r w:rsidRPr="00ED51B1">
        <w:rPr>
          <w:rFonts w:cs="Times New Roman"/>
          <w:highlight w:val="yellow"/>
        </w:rPr>
        <w:t xml:space="preserve">to </w:t>
      </w:r>
      <w:r w:rsidRPr="00ED51B1">
        <w:rPr>
          <w:rFonts w:cs="Times New Roman"/>
          <w:highlight w:val="yellow"/>
        </w:rPr>
        <w:t>long term job choice</w:t>
      </w:r>
      <w:r>
        <w:rPr>
          <w:rFonts w:cs="Times New Roman"/>
        </w:rPr>
        <w:t>.</w:t>
      </w:r>
    </w:p>
    <w:p w:rsidR="00681425" w:rsidRDefault="00ED51B1" w:rsidP="00681425">
      <w:pPr>
        <w:widowControl w:val="0"/>
        <w:spacing w:line="480" w:lineRule="auto"/>
        <w:rPr>
          <w:rFonts w:cs="Times New Roman"/>
          <w:b/>
        </w:rPr>
      </w:pPr>
      <w:r w:rsidRPr="00983A05">
        <w:rPr>
          <w:rFonts w:cs="Times New Roman"/>
          <w:b/>
        </w:rPr>
        <w:t>Understanding</w:t>
      </w:r>
      <w:r>
        <w:rPr>
          <w:rFonts w:cs="Times New Roman"/>
          <w:b/>
        </w:rPr>
        <w:t xml:space="preserve"> Math and Science Attitude Profiles</w:t>
      </w:r>
      <w:r w:rsidRPr="00983A05">
        <w:rPr>
          <w:rFonts w:cs="Times New Roman"/>
          <w:b/>
        </w:rPr>
        <w:t xml:space="preserve"> </w:t>
      </w:r>
    </w:p>
    <w:p w:rsidR="00ED51B1" w:rsidRDefault="00ED51B1" w:rsidP="00681425">
      <w:pPr>
        <w:widowControl w:val="0"/>
        <w:spacing w:line="480" w:lineRule="auto"/>
        <w:ind w:firstLine="720"/>
        <w:rPr>
          <w:rFonts w:cs="Times New Roman"/>
        </w:rPr>
      </w:pPr>
      <w:r w:rsidRPr="00983A05">
        <w:rPr>
          <w:rFonts w:cs="Times New Roman"/>
        </w:rPr>
        <w:t>As described befor</w:t>
      </w:r>
      <w:r>
        <w:rPr>
          <w:rFonts w:cs="Times New Roman"/>
        </w:rPr>
        <w:t xml:space="preserve">e, a series of </w:t>
      </w:r>
      <w:proofErr w:type="spellStart"/>
      <w:r>
        <w:rPr>
          <w:rFonts w:cs="Times New Roman"/>
        </w:rPr>
        <w:t>LCA</w:t>
      </w:r>
      <w:proofErr w:type="spellEnd"/>
      <w:r>
        <w:rPr>
          <w:rFonts w:cs="Times New Roman"/>
        </w:rPr>
        <w:t xml:space="preserve"> models</w:t>
      </w:r>
      <w:r>
        <w:rPr>
          <w:rFonts w:cs="Times New Roman"/>
        </w:rPr>
        <w:t xml:space="preserve"> were fit specifying 1-6 latent classes. </w:t>
      </w:r>
      <w:r w:rsidRPr="00983A05">
        <w:rPr>
          <w:rFonts w:cs="Times New Roman"/>
        </w:rPr>
        <w:t xml:space="preserve">  For each model, fit statistics were collected and used to help inform the decision about how many classes were sufficient to describe the heterogeneity in </w:t>
      </w:r>
      <w:proofErr w:type="spellStart"/>
      <w:r>
        <w:rPr>
          <w:rFonts w:cs="Times New Roman"/>
        </w:rPr>
        <w:t>studnets</w:t>
      </w:r>
      <w:proofErr w:type="spellEnd"/>
      <w:r>
        <w:rPr>
          <w:rFonts w:cs="Times New Roman"/>
        </w:rPr>
        <w:t xml:space="preserve"> attitudes towards math and science.</w:t>
      </w:r>
      <w:r w:rsidRPr="00983A05">
        <w:rPr>
          <w:rFonts w:cs="Times New Roman"/>
        </w:rPr>
        <w:t xml:space="preserve">  </w:t>
      </w:r>
      <w:r w:rsidRPr="00175B88">
        <w:rPr>
          <w:rFonts w:cs="Times New Roman"/>
        </w:rPr>
        <w:t xml:space="preserve">Table 1 </w:t>
      </w:r>
      <w:proofErr w:type="gramStart"/>
      <w:r w:rsidRPr="00983A05">
        <w:rPr>
          <w:rFonts w:cs="Times New Roman"/>
        </w:rPr>
        <w:t>presents</w:t>
      </w:r>
      <w:proofErr w:type="gramEnd"/>
      <w:r w:rsidRPr="00983A05">
        <w:rPr>
          <w:rFonts w:cs="Times New Roman"/>
        </w:rPr>
        <w:t xml:space="preserve"> model fit information for the </w:t>
      </w:r>
      <w:proofErr w:type="spellStart"/>
      <w:r w:rsidRPr="00983A05">
        <w:rPr>
          <w:rFonts w:cs="Times New Roman"/>
        </w:rPr>
        <w:t>LCA</w:t>
      </w:r>
      <w:proofErr w:type="spellEnd"/>
      <w:r w:rsidRPr="00983A05">
        <w:rPr>
          <w:rFonts w:cs="Times New Roman"/>
        </w:rPr>
        <w:t xml:space="preserve"> models with the latent classes that were considered.  The lowest value of the </w:t>
      </w:r>
      <w:proofErr w:type="spellStart"/>
      <w:r w:rsidRPr="00665902">
        <w:rPr>
          <w:rFonts w:cs="Times New Roman"/>
          <w:highlight w:val="yellow"/>
        </w:rPr>
        <w:t>BIC</w:t>
      </w:r>
      <w:proofErr w:type="spellEnd"/>
      <w:r w:rsidRPr="00665902">
        <w:rPr>
          <w:rFonts w:cs="Times New Roman"/>
          <w:highlight w:val="yellow"/>
        </w:rPr>
        <w:t xml:space="preserve"> (13223.58), currently the most trusted fit statistic used for </w:t>
      </w:r>
      <w:proofErr w:type="spellStart"/>
      <w:r w:rsidRPr="00665902">
        <w:rPr>
          <w:rFonts w:cs="Times New Roman"/>
          <w:highlight w:val="yellow"/>
        </w:rPr>
        <w:t>LCA</w:t>
      </w:r>
      <w:proofErr w:type="spellEnd"/>
      <w:r w:rsidRPr="00665902">
        <w:rPr>
          <w:rFonts w:cs="Times New Roman"/>
          <w:highlight w:val="yellow"/>
        </w:rPr>
        <w:t xml:space="preserve"> models, indicated a 5-class model (</w:t>
      </w:r>
      <w:proofErr w:type="spellStart"/>
      <w:r w:rsidRPr="00665902">
        <w:rPr>
          <w:rFonts w:cs="Times New Roman"/>
          <w:highlight w:val="yellow"/>
        </w:rPr>
        <w:t>Masyn</w:t>
      </w:r>
      <w:proofErr w:type="spellEnd"/>
      <w:r w:rsidRPr="00665902">
        <w:rPr>
          <w:rFonts w:cs="Times New Roman"/>
          <w:highlight w:val="yellow"/>
        </w:rPr>
        <w:t xml:space="preserve">, 2012; </w:t>
      </w:r>
      <w:proofErr w:type="spellStart"/>
      <w:r w:rsidRPr="00665902">
        <w:rPr>
          <w:rFonts w:cs="Times New Roman"/>
          <w:highlight w:val="yellow"/>
        </w:rPr>
        <w:t>Nylund</w:t>
      </w:r>
      <w:proofErr w:type="spellEnd"/>
      <w:r w:rsidRPr="00665902">
        <w:rPr>
          <w:rFonts w:cs="Times New Roman"/>
          <w:highlight w:val="yellow"/>
        </w:rPr>
        <w:t xml:space="preserve"> et al., 2007).  The significant </w:t>
      </w:r>
      <w:r w:rsidRPr="00665902">
        <w:rPr>
          <w:rFonts w:cs="Times New Roman"/>
          <w:i/>
          <w:highlight w:val="yellow"/>
        </w:rPr>
        <w:t>p</w:t>
      </w:r>
      <w:r w:rsidRPr="00665902">
        <w:rPr>
          <w:rFonts w:cs="Times New Roman"/>
          <w:highlight w:val="yellow"/>
        </w:rPr>
        <w:t xml:space="preserve">-value of the </w:t>
      </w:r>
      <w:proofErr w:type="spellStart"/>
      <w:r w:rsidRPr="00665902">
        <w:rPr>
          <w:rFonts w:cs="Times New Roman"/>
          <w:highlight w:val="yellow"/>
        </w:rPr>
        <w:t>LMR</w:t>
      </w:r>
      <w:proofErr w:type="spellEnd"/>
      <w:r w:rsidRPr="00665902">
        <w:rPr>
          <w:rFonts w:cs="Times New Roman"/>
          <w:highlight w:val="yellow"/>
        </w:rPr>
        <w:t xml:space="preserve"> indicated that a 2-class model provided superior fit to a 3-class model.  There was never a </w:t>
      </w:r>
      <w:proofErr w:type="spellStart"/>
      <w:r w:rsidRPr="00665902">
        <w:rPr>
          <w:rFonts w:cs="Times New Roman"/>
          <w:highlight w:val="yellow"/>
        </w:rPr>
        <w:t>nonsignificant</w:t>
      </w:r>
      <w:proofErr w:type="spellEnd"/>
      <w:r w:rsidRPr="00665902">
        <w:rPr>
          <w:rFonts w:cs="Times New Roman"/>
          <w:highlight w:val="yellow"/>
        </w:rPr>
        <w:t xml:space="preserve"> </w:t>
      </w:r>
      <w:r w:rsidRPr="00665902">
        <w:rPr>
          <w:rFonts w:cs="Times New Roman"/>
          <w:i/>
          <w:highlight w:val="yellow"/>
        </w:rPr>
        <w:t>p</w:t>
      </w:r>
      <w:r w:rsidRPr="00665902">
        <w:rPr>
          <w:rFonts w:cs="Times New Roman"/>
          <w:highlight w:val="yellow"/>
        </w:rPr>
        <w:t xml:space="preserve">-value for the </w:t>
      </w:r>
      <w:proofErr w:type="spellStart"/>
      <w:r w:rsidRPr="00665902">
        <w:rPr>
          <w:rFonts w:cs="Times New Roman"/>
          <w:highlight w:val="yellow"/>
        </w:rPr>
        <w:t>BLRT</w:t>
      </w:r>
      <w:proofErr w:type="spellEnd"/>
      <w:r w:rsidRPr="00665902">
        <w:rPr>
          <w:rFonts w:cs="Times New Roman"/>
          <w:highlight w:val="yellow"/>
        </w:rPr>
        <w:t xml:space="preserve">, so this did not inform our decision.  The Bayes Factor value went from being very small to very large at the 5-class </w:t>
      </w:r>
      <w:proofErr w:type="gramStart"/>
      <w:r w:rsidRPr="00665902">
        <w:rPr>
          <w:rFonts w:cs="Times New Roman"/>
          <w:highlight w:val="yellow"/>
        </w:rPr>
        <w:t>model</w:t>
      </w:r>
      <w:proofErr w:type="gramEnd"/>
      <w:r w:rsidRPr="00665902">
        <w:rPr>
          <w:rFonts w:cs="Times New Roman"/>
          <w:highlight w:val="yellow"/>
        </w:rPr>
        <w:t xml:space="preserve">, and was in the strong fit range for the 5- and 6-class models. Given parsimony, the 5-class model is preferred.  Also, the </w:t>
      </w:r>
      <w:proofErr w:type="spellStart"/>
      <w:r w:rsidRPr="00665902">
        <w:rPr>
          <w:rFonts w:cs="Times New Roman"/>
          <w:i/>
          <w:highlight w:val="yellow"/>
        </w:rPr>
        <w:t>cmP</w:t>
      </w:r>
      <w:proofErr w:type="spellEnd"/>
      <w:r w:rsidRPr="00665902">
        <w:rPr>
          <w:rFonts w:cs="Times New Roman"/>
          <w:highlight w:val="yellow"/>
        </w:rPr>
        <w:t xml:space="preserve"> value was highest for the 5-class model indicating that this model had the highest probability of being the correct model given the 1-7-class models considered.  Given the statistical support of the 5-class model, and the substantive plausibility of the solution, this model was considered the final model.  The entropy for this model was .81, an acceptable</w:t>
      </w:r>
      <w:r>
        <w:rPr>
          <w:rFonts w:cs="Times New Roman"/>
        </w:rPr>
        <w:t xml:space="preserve"> value</w:t>
      </w:r>
      <w:r w:rsidRPr="00983A05">
        <w:rPr>
          <w:rFonts w:cs="Times New Roman"/>
        </w:rPr>
        <w:t>.</w:t>
      </w:r>
    </w:p>
    <w:p w:rsidR="00681425" w:rsidRPr="00681425" w:rsidRDefault="00681425" w:rsidP="00681425">
      <w:pPr>
        <w:widowControl w:val="0"/>
        <w:spacing w:line="480" w:lineRule="auto"/>
        <w:ind w:left="360"/>
        <w:rPr>
          <w:rFonts w:cs="Times New Roman"/>
          <w:b/>
        </w:rPr>
      </w:pPr>
    </w:p>
    <w:p w:rsidR="004E5D96" w:rsidRDefault="004E5D96" w:rsidP="004E5D96">
      <w:pPr>
        <w:pStyle w:val="ListParagraph"/>
        <w:numPr>
          <w:ilvl w:val="0"/>
          <w:numId w:val="4"/>
        </w:numPr>
        <w:spacing w:line="480" w:lineRule="auto"/>
      </w:pPr>
      <w:r>
        <w:t>Relationship to gender, ethnicity, math achievement</w:t>
      </w:r>
      <w:r w:rsidR="000503FA">
        <w:t xml:space="preserve"> (Table 3)</w:t>
      </w:r>
    </w:p>
    <w:p w:rsidR="00D50DF6" w:rsidRDefault="004E5D96" w:rsidP="004E5D96">
      <w:pPr>
        <w:pStyle w:val="ListParagraph"/>
        <w:numPr>
          <w:ilvl w:val="0"/>
          <w:numId w:val="4"/>
        </w:numPr>
        <w:spacing w:line="480" w:lineRule="auto"/>
      </w:pPr>
      <w:r>
        <w:t xml:space="preserve">Relationship to </w:t>
      </w:r>
      <w:r w:rsidR="00B87F21">
        <w:t>distal outcome(s)</w:t>
      </w:r>
      <w:r w:rsidR="004760AE">
        <w:t>. Students with more positive attitudes are more likely to work in STEM. Students with less positive attitudes are less likely to work in STEM.</w:t>
      </w:r>
    </w:p>
    <w:p w:rsidR="00B87F21" w:rsidRPr="00D50DF6" w:rsidRDefault="004E5D96" w:rsidP="004E5D96">
      <w:pPr>
        <w:pStyle w:val="ListParagraph"/>
        <w:numPr>
          <w:ilvl w:val="0"/>
          <w:numId w:val="4"/>
        </w:numPr>
        <w:spacing w:line="480" w:lineRule="auto"/>
      </w:pPr>
      <w:r>
        <w:t>P</w:t>
      </w:r>
      <w:r w:rsidR="00B87F21">
        <w:t>ercent of female and underrepresented</w:t>
      </w:r>
      <w:r>
        <w:t xml:space="preserve"> minority students in Class 1</w:t>
      </w:r>
    </w:p>
    <w:p w:rsidR="00D50DF6" w:rsidRPr="00D50DF6" w:rsidRDefault="00D50DF6" w:rsidP="00D50DF6">
      <w:pPr>
        <w:spacing w:line="480" w:lineRule="auto"/>
        <w:jc w:val="center"/>
        <w:rPr>
          <w:b/>
        </w:rPr>
      </w:pPr>
      <w:r w:rsidRPr="00D50DF6">
        <w:rPr>
          <w:b/>
        </w:rPr>
        <w:t>Discussion</w:t>
      </w:r>
      <w:r w:rsidR="00124E0F">
        <w:rPr>
          <w:b/>
        </w:rPr>
        <w:t xml:space="preserve"> (2 pages)</w:t>
      </w:r>
    </w:p>
    <w:p w:rsidR="00D50DF6" w:rsidRDefault="000503FA" w:rsidP="00CE609F">
      <w:pPr>
        <w:spacing w:line="480" w:lineRule="auto"/>
        <w:ind w:firstLine="720"/>
      </w:pPr>
      <w:r>
        <w:t xml:space="preserve">In this sample, seventh grade females and underrepresented minority students were </w:t>
      </w:r>
      <w:r w:rsidR="00CE609F">
        <w:t xml:space="preserve">not only </w:t>
      </w:r>
      <w:r>
        <w:t xml:space="preserve">similar in their attitudes towards mathematics and </w:t>
      </w:r>
      <w:proofErr w:type="gramStart"/>
      <w:r>
        <w:t>science compared to males</w:t>
      </w:r>
      <w:r w:rsidR="00CE609F">
        <w:t xml:space="preserve"> and White and Asian students but, were</w:t>
      </w:r>
      <w:proofErr w:type="gramEnd"/>
      <w:r w:rsidR="00CE609F">
        <w:t xml:space="preserve"> actually more likely to be in Class 1 </w:t>
      </w:r>
      <w:r>
        <w:t xml:space="preserve">compared to other students. </w:t>
      </w:r>
      <w:r w:rsidR="00CE609F">
        <w:t xml:space="preserve">However, we are all familiar with how this story ends. </w:t>
      </w:r>
      <w:r>
        <w:t>Despite this initial early interest in mathematics and science, females and underrepresented students were less likely to persist in a STEM career.</w:t>
      </w:r>
      <w:r w:rsidR="00CE609F">
        <w:t xml:space="preserve"> </w:t>
      </w:r>
      <w:r>
        <w:t xml:space="preserve">There might be several reasons for this early interest or initial similarities. </w:t>
      </w:r>
      <w:r w:rsidR="00CE609F">
        <w:t xml:space="preserve">Flush this out: </w:t>
      </w:r>
      <w:r>
        <w:t>Students express interest but don’t have interest in an actual career that uses math and science; maybe they don’t know what careers are that use math and science; or maybe they just don’t have the support for this initial interest to sustain them through college. We know that females opt out at higher rates than males and that these differences are most pronounced in college and (as we say with this data) with who actually attains STEM employment. However we don’t know where the breakdown occurs or whether this breakdown is systematic enough to detect and do something about. Future research on this longitudinal data will help identify at what time point this interest starts to dip and gaps between females/males, underrepresented minorities/white and Asians become more pronounced. Identifying this could help target interventions and programs (give concrete examples).</w:t>
      </w:r>
      <w:r w:rsidR="00D50DF6">
        <w:br w:type="page"/>
      </w:r>
    </w:p>
    <w:p w:rsidR="00D50DF6" w:rsidRDefault="00D50DF6" w:rsidP="00D50DF6">
      <w:pPr>
        <w:spacing w:line="480" w:lineRule="auto"/>
        <w:jc w:val="center"/>
      </w:pPr>
      <w:r>
        <w:lastRenderedPageBreak/>
        <w:t>References</w:t>
      </w:r>
    </w:p>
    <w:p w:rsidR="00AF0E7E" w:rsidRDefault="00AF0E7E" w:rsidP="00AF0E7E">
      <w:pPr>
        <w:ind w:left="720" w:hanging="720"/>
      </w:pPr>
      <w:proofErr w:type="spellStart"/>
      <w:proofErr w:type="gramStart"/>
      <w:r>
        <w:t>Bonous-Hammarth</w:t>
      </w:r>
      <w:proofErr w:type="spellEnd"/>
      <w:r>
        <w:t>, M. (2000).</w:t>
      </w:r>
      <w:proofErr w:type="gramEnd"/>
      <w:r>
        <w:t xml:space="preserve"> Pathways to success: Affirming opportunities for science, mathematics, and engineering majors. </w:t>
      </w:r>
      <w:r w:rsidRPr="000E7D62">
        <w:rPr>
          <w:i/>
        </w:rPr>
        <w:t>Journal of Negro Education</w:t>
      </w:r>
      <w:r>
        <w:t xml:space="preserve">, </w:t>
      </w:r>
      <w:r w:rsidRPr="000E7D62">
        <w:rPr>
          <w:i/>
        </w:rPr>
        <w:t>69</w:t>
      </w:r>
      <w:r>
        <w:t>(1/2), 92-111.</w:t>
      </w:r>
    </w:p>
    <w:p w:rsidR="00AF0E7E" w:rsidRDefault="00AF0E7E" w:rsidP="00AF0E7E">
      <w:pPr>
        <w:ind w:left="720" w:hanging="720"/>
      </w:pPr>
    </w:p>
    <w:p w:rsidR="00AF0E7E" w:rsidRDefault="00AF0E7E" w:rsidP="00AF0E7E">
      <w:pPr>
        <w:ind w:left="720" w:hanging="720"/>
      </w:pPr>
      <w:proofErr w:type="spellStart"/>
      <w:proofErr w:type="gramStart"/>
      <w:r>
        <w:t>Carlone</w:t>
      </w:r>
      <w:proofErr w:type="spellEnd"/>
      <w:r>
        <w:t>, H. B., &amp; Johnson, A. (2007).</w:t>
      </w:r>
      <w:proofErr w:type="gramEnd"/>
      <w:r>
        <w:t xml:space="preserve"> </w:t>
      </w:r>
      <w:proofErr w:type="gramStart"/>
      <w:r>
        <w:t>Understanding the science experiences of successful women of color: Science identity as an analytic lens.</w:t>
      </w:r>
      <w:proofErr w:type="gramEnd"/>
      <w:r>
        <w:t xml:space="preserve"> Journal of Research in Science Teaching, 44(8), 1187-1218.</w:t>
      </w:r>
    </w:p>
    <w:p w:rsidR="00AF0E7E" w:rsidRDefault="00AF0E7E" w:rsidP="00AF0E7E">
      <w:pPr>
        <w:ind w:left="720" w:hanging="720"/>
      </w:pPr>
    </w:p>
    <w:p w:rsidR="00AF0E7E" w:rsidRDefault="00AF0E7E" w:rsidP="00AF0E7E">
      <w:pPr>
        <w:ind w:left="720" w:hanging="720"/>
      </w:pPr>
      <w:proofErr w:type="gramStart"/>
      <w:r>
        <w:t>College Board.</w:t>
      </w:r>
      <w:proofErr w:type="gramEnd"/>
      <w:r>
        <w:t xml:space="preserve"> (2005). </w:t>
      </w:r>
      <w:r w:rsidRPr="00AE2215">
        <w:rPr>
          <w:i/>
        </w:rPr>
        <w:t>2005 College-bound seniors: Total group profile report</w:t>
      </w:r>
      <w:r>
        <w:t xml:space="preserve">. Retrieved February 25, 2008 from </w:t>
      </w:r>
      <w:hyperlink r:id="rId12" w:history="1">
        <w:r w:rsidRPr="00057EF4">
          <w:rPr>
            <w:rStyle w:val="Hyperlink"/>
          </w:rPr>
          <w:t>http://www.collegeboard.com/prod_downloads/about/news_info/cbsenior/yr2005/2005-college-bound-seniors.pdf</w:t>
        </w:r>
      </w:hyperlink>
    </w:p>
    <w:p w:rsidR="00AF0E7E" w:rsidRDefault="00AF0E7E" w:rsidP="00AF0E7E">
      <w:pPr>
        <w:ind w:left="720" w:hanging="720"/>
      </w:pPr>
    </w:p>
    <w:p w:rsidR="00AF0E7E" w:rsidRDefault="00AF0E7E" w:rsidP="00AF0E7E">
      <w:pPr>
        <w:ind w:left="720" w:hanging="720"/>
      </w:pPr>
      <w:proofErr w:type="spellStart"/>
      <w:r w:rsidRPr="000E7D62">
        <w:t>Daempfle</w:t>
      </w:r>
      <w:proofErr w:type="spellEnd"/>
      <w:r w:rsidRPr="000E7D62">
        <w:t xml:space="preserve">, P. A. (2003). An analysis of the high attrition rates among first year college science, math, and engineering majors. </w:t>
      </w:r>
      <w:r w:rsidRPr="00500622">
        <w:rPr>
          <w:i/>
        </w:rPr>
        <w:t>Journal of College Student Retention</w:t>
      </w:r>
      <w:r w:rsidRPr="000E7D62">
        <w:t xml:space="preserve">, </w:t>
      </w:r>
      <w:r w:rsidRPr="00500622">
        <w:rPr>
          <w:i/>
        </w:rPr>
        <w:t>5</w:t>
      </w:r>
      <w:r w:rsidRPr="000E7D62">
        <w:t>(1), 37-52.</w:t>
      </w:r>
    </w:p>
    <w:p w:rsidR="00AF0E7E" w:rsidRDefault="00AF0E7E" w:rsidP="00AF0E7E">
      <w:pPr>
        <w:ind w:left="720" w:hanging="720"/>
      </w:pPr>
    </w:p>
    <w:p w:rsidR="00AF0E7E" w:rsidRDefault="00AF0E7E" w:rsidP="00AF0E7E">
      <w:pPr>
        <w:ind w:left="720" w:hanging="720"/>
      </w:pPr>
      <w:proofErr w:type="gramStart"/>
      <w:r>
        <w:t>DeWitt, J., Archer, L., Osborne, J., Dillon, J., Willis, B., &amp; Wong, B. (2011).</w:t>
      </w:r>
      <w:proofErr w:type="gramEnd"/>
      <w:r>
        <w:t xml:space="preserve"> High aspirations but low progression: The science aspirations-careers paradox among minority ethnic students. </w:t>
      </w:r>
      <w:r w:rsidRPr="003749A0">
        <w:rPr>
          <w:i/>
        </w:rPr>
        <w:t>International Journal of Science and Mathematics Education</w:t>
      </w:r>
      <w:r>
        <w:t xml:space="preserve">, </w:t>
      </w:r>
      <w:r w:rsidRPr="003749A0">
        <w:rPr>
          <w:i/>
        </w:rPr>
        <w:t>9</w:t>
      </w:r>
      <w:r>
        <w:t>(2), 243–271</w:t>
      </w:r>
    </w:p>
    <w:p w:rsidR="00AF0E7E" w:rsidRDefault="00AF0E7E" w:rsidP="00AF0E7E">
      <w:pPr>
        <w:ind w:left="720" w:hanging="720"/>
      </w:pPr>
    </w:p>
    <w:p w:rsidR="00AF0E7E" w:rsidRDefault="00AF0E7E" w:rsidP="00AF0E7E">
      <w:pPr>
        <w:ind w:left="720" w:hanging="720"/>
      </w:pPr>
      <w:proofErr w:type="gramStart"/>
      <w:r>
        <w:rPr>
          <w:sz w:val="23"/>
          <w:szCs w:val="23"/>
        </w:rPr>
        <w:t xml:space="preserve">Elliott, R., </w:t>
      </w:r>
      <w:proofErr w:type="spellStart"/>
      <w:r>
        <w:rPr>
          <w:sz w:val="23"/>
          <w:szCs w:val="23"/>
        </w:rPr>
        <w:t>Strenta</w:t>
      </w:r>
      <w:proofErr w:type="spellEnd"/>
      <w:r>
        <w:rPr>
          <w:sz w:val="23"/>
          <w:szCs w:val="23"/>
        </w:rPr>
        <w:t xml:space="preserve">, A. C., Adair, R., </w:t>
      </w:r>
      <w:proofErr w:type="spellStart"/>
      <w:r>
        <w:rPr>
          <w:sz w:val="23"/>
          <w:szCs w:val="23"/>
        </w:rPr>
        <w:t>Matier</w:t>
      </w:r>
      <w:proofErr w:type="spellEnd"/>
      <w:r>
        <w:rPr>
          <w:sz w:val="23"/>
          <w:szCs w:val="23"/>
        </w:rPr>
        <w:t>, M., &amp; Scott, J. (1996).</w:t>
      </w:r>
      <w:proofErr w:type="gramEnd"/>
      <w:r>
        <w:rPr>
          <w:sz w:val="23"/>
          <w:szCs w:val="23"/>
        </w:rPr>
        <w:t xml:space="preserve"> </w:t>
      </w:r>
      <w:proofErr w:type="gramStart"/>
      <w:r>
        <w:rPr>
          <w:sz w:val="23"/>
          <w:szCs w:val="23"/>
        </w:rPr>
        <w:t>The role of ethnicity in choosing and leaving science in highly selective institutions.</w:t>
      </w:r>
      <w:proofErr w:type="gramEnd"/>
      <w:r>
        <w:rPr>
          <w:sz w:val="23"/>
          <w:szCs w:val="23"/>
        </w:rPr>
        <w:t xml:space="preserve"> </w:t>
      </w:r>
      <w:r>
        <w:rPr>
          <w:i/>
          <w:iCs/>
          <w:sz w:val="23"/>
          <w:szCs w:val="23"/>
        </w:rPr>
        <w:t>Research in Higher Education, 37</w:t>
      </w:r>
      <w:r>
        <w:rPr>
          <w:sz w:val="23"/>
          <w:szCs w:val="23"/>
        </w:rPr>
        <w:t>(6), 681-709.</w:t>
      </w:r>
    </w:p>
    <w:p w:rsidR="00AF0E7E" w:rsidRDefault="00AF0E7E" w:rsidP="00AF0E7E">
      <w:pPr>
        <w:ind w:left="720" w:hanging="720"/>
      </w:pPr>
    </w:p>
    <w:p w:rsidR="00AF0E7E" w:rsidRDefault="00AF0E7E" w:rsidP="00AF0E7E">
      <w:pPr>
        <w:ind w:left="720" w:hanging="720"/>
      </w:pPr>
      <w:proofErr w:type="spellStart"/>
      <w:proofErr w:type="gramStart"/>
      <w:r>
        <w:t>Gándara</w:t>
      </w:r>
      <w:proofErr w:type="spellEnd"/>
      <w:r>
        <w:t>, P., &amp; Maxwell-Jolly, J. (1999).</w:t>
      </w:r>
      <w:proofErr w:type="gramEnd"/>
      <w:r>
        <w:t xml:space="preserve"> </w:t>
      </w:r>
      <w:proofErr w:type="gramStart"/>
      <w:r w:rsidRPr="00500622">
        <w:rPr>
          <w:i/>
        </w:rPr>
        <w:t>Priming the pump: Strategies for increasing the achievement of underrepresented minority undergraduates</w:t>
      </w:r>
      <w:r>
        <w:t>.</w:t>
      </w:r>
      <w:proofErr w:type="gramEnd"/>
      <w:r>
        <w:t xml:space="preserve"> New York: The College Board.</w:t>
      </w:r>
    </w:p>
    <w:p w:rsidR="00AF0E7E" w:rsidRDefault="00AF0E7E" w:rsidP="00AF0E7E">
      <w:pPr>
        <w:ind w:left="720" w:hanging="720"/>
      </w:pPr>
    </w:p>
    <w:p w:rsidR="00AF0E7E" w:rsidRDefault="00AF0E7E" w:rsidP="00AF0E7E">
      <w:pPr>
        <w:ind w:left="720" w:hanging="720"/>
      </w:pPr>
      <w:proofErr w:type="spellStart"/>
      <w:proofErr w:type="gramStart"/>
      <w:r>
        <w:t>Grandy</w:t>
      </w:r>
      <w:proofErr w:type="spellEnd"/>
      <w:r>
        <w:t>, J. (1998).</w:t>
      </w:r>
      <w:proofErr w:type="gramEnd"/>
      <w:r>
        <w:t xml:space="preserve"> </w:t>
      </w:r>
      <w:proofErr w:type="gramStart"/>
      <w:r>
        <w:t>Persistence in science of high-ability minority students.</w:t>
      </w:r>
      <w:proofErr w:type="gramEnd"/>
      <w:r>
        <w:t xml:space="preserve"> </w:t>
      </w:r>
      <w:r w:rsidRPr="00500622">
        <w:rPr>
          <w:i/>
        </w:rPr>
        <w:t>The Journal of Higher Education</w:t>
      </w:r>
      <w:r>
        <w:t>, 69(6), 589-620.</w:t>
      </w:r>
    </w:p>
    <w:p w:rsidR="00AF0E7E" w:rsidRDefault="00AF0E7E" w:rsidP="00AF0E7E">
      <w:pPr>
        <w:ind w:left="720" w:hanging="720"/>
      </w:pPr>
    </w:p>
    <w:p w:rsidR="00AF0E7E" w:rsidRDefault="00AF0E7E" w:rsidP="00AF0E7E">
      <w:pPr>
        <w:ind w:left="720" w:hanging="720"/>
      </w:pPr>
      <w:r>
        <w:t xml:space="preserve">Higher Education Research Institute. (2010). </w:t>
      </w:r>
      <w:r w:rsidRPr="00D346E6">
        <w:rPr>
          <w:i/>
        </w:rPr>
        <w:t>Degrees of success: Bachelor’s degree completion rates among initial STEM majors</w:t>
      </w:r>
      <w:r>
        <w:t>. Los Angeles: Higher Education Research Institute.</w:t>
      </w:r>
    </w:p>
    <w:p w:rsidR="00AF0E7E" w:rsidRDefault="00AF0E7E" w:rsidP="00AF0E7E">
      <w:pPr>
        <w:ind w:left="720" w:hanging="720"/>
      </w:pPr>
    </w:p>
    <w:p w:rsidR="00AF0E7E" w:rsidRDefault="00AF0E7E" w:rsidP="00AF0E7E">
      <w:pPr>
        <w:ind w:left="720" w:hanging="720"/>
      </w:pPr>
      <w:proofErr w:type="gramStart"/>
      <w:r>
        <w:t xml:space="preserve">Huang, G., </w:t>
      </w:r>
      <w:proofErr w:type="spellStart"/>
      <w:r>
        <w:t>Taddese</w:t>
      </w:r>
      <w:proofErr w:type="spellEnd"/>
      <w:r>
        <w:t>, N., &amp; Walter, E. (2000).</w:t>
      </w:r>
      <w:proofErr w:type="gramEnd"/>
      <w:r>
        <w:t xml:space="preserve"> </w:t>
      </w:r>
      <w:proofErr w:type="gramStart"/>
      <w:r w:rsidRPr="00D346E6">
        <w:rPr>
          <w:i/>
        </w:rPr>
        <w:t>Entry and persistence of women and minorities in college science and engineering education</w:t>
      </w:r>
      <w:r>
        <w:t xml:space="preserve"> (No.</w:t>
      </w:r>
      <w:proofErr w:type="gramEnd"/>
      <w:r>
        <w:t xml:space="preserve"> </w:t>
      </w:r>
      <w:proofErr w:type="gramStart"/>
      <w:r>
        <w:t>NCES 2000601).</w:t>
      </w:r>
      <w:proofErr w:type="gramEnd"/>
      <w:r>
        <w:t xml:space="preserve"> Washington, D.C.: National Center for Education Statistics.</w:t>
      </w:r>
    </w:p>
    <w:p w:rsidR="00AF0E7E" w:rsidRDefault="00AF0E7E" w:rsidP="00AF0E7E">
      <w:pPr>
        <w:ind w:left="720" w:hanging="720"/>
      </w:pPr>
    </w:p>
    <w:p w:rsidR="00AF0E7E" w:rsidRDefault="00AF0E7E" w:rsidP="00AF0E7E">
      <w:pPr>
        <w:ind w:left="720" w:hanging="720"/>
      </w:pPr>
      <w:proofErr w:type="spellStart"/>
      <w:proofErr w:type="gramStart"/>
      <w:r w:rsidRPr="00AE2215">
        <w:t>Hurtado</w:t>
      </w:r>
      <w:proofErr w:type="spellEnd"/>
      <w:r w:rsidRPr="00AE2215">
        <w:t>, S., Cabrera, N. L., Lin, M. H., Arellano, L., &amp; Espinosa, L. L. (2009).</w:t>
      </w:r>
      <w:proofErr w:type="gramEnd"/>
      <w:r w:rsidRPr="00AE2215">
        <w:t xml:space="preserve"> Diversifying science: Underrepresented student experiences in structured research programs. </w:t>
      </w:r>
      <w:r w:rsidRPr="00AE2215">
        <w:rPr>
          <w:i/>
        </w:rPr>
        <w:t>Research in Higher Education</w:t>
      </w:r>
      <w:r w:rsidRPr="00AE2215">
        <w:t xml:space="preserve">, </w:t>
      </w:r>
      <w:r w:rsidRPr="00AE2215">
        <w:rPr>
          <w:i/>
        </w:rPr>
        <w:t>50</w:t>
      </w:r>
      <w:r w:rsidRPr="00AE2215">
        <w:t>(2), 189-214.</w:t>
      </w:r>
    </w:p>
    <w:p w:rsidR="00AF0E7E" w:rsidRDefault="00AF0E7E" w:rsidP="00AF0E7E">
      <w:pPr>
        <w:ind w:left="720" w:hanging="720"/>
      </w:pPr>
    </w:p>
    <w:p w:rsidR="00AF0E7E" w:rsidRDefault="00AF0E7E" w:rsidP="00AF0E7E">
      <w:pPr>
        <w:ind w:left="720" w:hanging="720"/>
      </w:pPr>
      <w:proofErr w:type="spellStart"/>
      <w:r>
        <w:t>Hurtado</w:t>
      </w:r>
      <w:proofErr w:type="spellEnd"/>
      <w:r>
        <w:t xml:space="preserve">, S., </w:t>
      </w:r>
      <w:proofErr w:type="spellStart"/>
      <w:r>
        <w:t>Cerna</w:t>
      </w:r>
      <w:proofErr w:type="spellEnd"/>
      <w:r>
        <w:t xml:space="preserve">, O. S., Chang, J. C., </w:t>
      </w:r>
      <w:proofErr w:type="spellStart"/>
      <w:r>
        <w:t>Sa´enz</w:t>
      </w:r>
      <w:proofErr w:type="spellEnd"/>
      <w:r>
        <w:t xml:space="preserve">, V. B., Lopez, L. R., </w:t>
      </w:r>
      <w:proofErr w:type="spellStart"/>
      <w:r>
        <w:t>Mosqueda</w:t>
      </w:r>
      <w:proofErr w:type="spellEnd"/>
      <w:r>
        <w:t xml:space="preserve">, C., </w:t>
      </w:r>
      <w:proofErr w:type="spellStart"/>
      <w:r>
        <w:t>Oseguera</w:t>
      </w:r>
      <w:proofErr w:type="spellEnd"/>
      <w:r>
        <w:t xml:space="preserve">, L., Chang, M. J., &amp; </w:t>
      </w:r>
      <w:proofErr w:type="spellStart"/>
      <w:r>
        <w:t>Korn</w:t>
      </w:r>
      <w:proofErr w:type="spellEnd"/>
      <w:r>
        <w:t xml:space="preserve">, W. S. (2006). </w:t>
      </w:r>
      <w:r w:rsidRPr="00AE2215">
        <w:rPr>
          <w:i/>
        </w:rPr>
        <w:t>Aspiring scientists: Characteristics of college freshmen interested in the biomedical and behavioral sciences</w:t>
      </w:r>
      <w:r>
        <w:t>. Los Angeles, CA: Higher Education Research Institute, UCLA.</w:t>
      </w:r>
    </w:p>
    <w:p w:rsidR="00AF0E7E" w:rsidRDefault="00AF0E7E" w:rsidP="00AF0E7E">
      <w:pPr>
        <w:ind w:left="720" w:hanging="720"/>
      </w:pPr>
    </w:p>
    <w:p w:rsidR="009459DB" w:rsidRDefault="009459DB" w:rsidP="009459DB">
      <w:pPr>
        <w:ind w:left="720" w:hanging="720"/>
        <w:rPr>
          <w:rFonts w:eastAsia="Times New Roman" w:cs="Times New Roman"/>
          <w:bCs/>
        </w:rPr>
      </w:pPr>
      <w:proofErr w:type="spellStart"/>
      <w:r w:rsidRPr="00983A05">
        <w:rPr>
          <w:rFonts w:eastAsia="Times New Roman" w:cs="Times New Roman"/>
        </w:rPr>
        <w:t>Masyn</w:t>
      </w:r>
      <w:proofErr w:type="spellEnd"/>
      <w:r w:rsidRPr="00983A05">
        <w:rPr>
          <w:rFonts w:eastAsia="Times New Roman" w:cs="Times New Roman"/>
        </w:rPr>
        <w:t>, K.</w:t>
      </w:r>
      <w:r w:rsidRPr="00983A05">
        <w:rPr>
          <w:rFonts w:eastAsia="Times New Roman" w:cs="Times New Roman"/>
          <w:bCs/>
        </w:rPr>
        <w:t xml:space="preserve"> (</w:t>
      </w:r>
      <w:r>
        <w:rPr>
          <w:rFonts w:eastAsia="Times New Roman" w:cs="Times New Roman"/>
          <w:bCs/>
        </w:rPr>
        <w:t>2012</w:t>
      </w:r>
      <w:r w:rsidRPr="00983A05">
        <w:rPr>
          <w:rFonts w:eastAsia="Times New Roman" w:cs="Times New Roman"/>
          <w:bCs/>
        </w:rPr>
        <w:t xml:space="preserve">). </w:t>
      </w:r>
      <w:proofErr w:type="gramStart"/>
      <w:r w:rsidRPr="00983A05">
        <w:rPr>
          <w:rFonts w:eastAsia="Times New Roman" w:cs="Times New Roman"/>
          <w:bCs/>
        </w:rPr>
        <w:t>Latent class analysis and finite mixture modeling.</w:t>
      </w:r>
      <w:proofErr w:type="gramEnd"/>
      <w:r w:rsidRPr="00983A05">
        <w:rPr>
          <w:rFonts w:eastAsia="Times New Roman" w:cs="Times New Roman"/>
          <w:bCs/>
        </w:rPr>
        <w:t xml:space="preserve"> </w:t>
      </w:r>
      <w:proofErr w:type="gramStart"/>
      <w:r w:rsidRPr="00983A05">
        <w:rPr>
          <w:rFonts w:eastAsia="Times New Roman" w:cs="Times New Roman"/>
          <w:bCs/>
        </w:rPr>
        <w:t>In T. Little (Ed.)</w:t>
      </w:r>
      <w:r>
        <w:rPr>
          <w:rFonts w:eastAsia="Times New Roman" w:cs="Times New Roman"/>
          <w:bCs/>
        </w:rPr>
        <w:t>,</w:t>
      </w:r>
      <w:r w:rsidRPr="00983A05">
        <w:rPr>
          <w:rFonts w:eastAsia="Times New Roman" w:cs="Times New Roman"/>
          <w:bCs/>
        </w:rPr>
        <w:t xml:space="preserve"> </w:t>
      </w:r>
      <w:r w:rsidRPr="00983A05">
        <w:rPr>
          <w:rFonts w:eastAsia="Times New Roman" w:cs="Times New Roman"/>
          <w:bCs/>
          <w:i/>
        </w:rPr>
        <w:t xml:space="preserve">The Oxford </w:t>
      </w:r>
      <w:r>
        <w:rPr>
          <w:rFonts w:eastAsia="Times New Roman" w:cs="Times New Roman"/>
          <w:bCs/>
          <w:i/>
        </w:rPr>
        <w:t>h</w:t>
      </w:r>
      <w:r w:rsidRPr="00983A05">
        <w:rPr>
          <w:rFonts w:eastAsia="Times New Roman" w:cs="Times New Roman"/>
          <w:bCs/>
          <w:i/>
        </w:rPr>
        <w:t xml:space="preserve">andbook of </w:t>
      </w:r>
      <w:r>
        <w:rPr>
          <w:rFonts w:eastAsia="Times New Roman" w:cs="Times New Roman"/>
          <w:bCs/>
          <w:i/>
        </w:rPr>
        <w:t>q</w:t>
      </w:r>
      <w:r w:rsidRPr="00983A05">
        <w:rPr>
          <w:rFonts w:eastAsia="Times New Roman" w:cs="Times New Roman"/>
          <w:bCs/>
          <w:i/>
        </w:rPr>
        <w:t xml:space="preserve">uantitative </w:t>
      </w:r>
      <w:r>
        <w:rPr>
          <w:rFonts w:eastAsia="Times New Roman" w:cs="Times New Roman"/>
          <w:bCs/>
          <w:i/>
        </w:rPr>
        <w:t>m</w:t>
      </w:r>
      <w:r w:rsidRPr="00983A05">
        <w:rPr>
          <w:rFonts w:eastAsia="Times New Roman" w:cs="Times New Roman"/>
          <w:bCs/>
          <w:i/>
        </w:rPr>
        <w:t xml:space="preserve">ethods in </w:t>
      </w:r>
      <w:r>
        <w:rPr>
          <w:rFonts w:eastAsia="Times New Roman" w:cs="Times New Roman"/>
          <w:bCs/>
          <w:i/>
        </w:rPr>
        <w:t>p</w:t>
      </w:r>
      <w:r w:rsidRPr="00983A05">
        <w:rPr>
          <w:rFonts w:eastAsia="Times New Roman" w:cs="Times New Roman"/>
          <w:bCs/>
          <w:i/>
        </w:rPr>
        <w:t>sychology</w:t>
      </w:r>
      <w:r>
        <w:rPr>
          <w:rFonts w:eastAsia="Times New Roman" w:cs="Times New Roman"/>
          <w:bCs/>
          <w:i/>
        </w:rPr>
        <w:t xml:space="preserve"> </w:t>
      </w:r>
      <w:r w:rsidRPr="000B5EA1">
        <w:rPr>
          <w:rFonts w:eastAsia="Times New Roman" w:cs="Times New Roman"/>
          <w:bCs/>
        </w:rPr>
        <w:t>(</w:t>
      </w:r>
      <w:r>
        <w:rPr>
          <w:rFonts w:eastAsia="Times New Roman" w:cs="Times New Roman"/>
          <w:bCs/>
        </w:rPr>
        <w:t>V</w:t>
      </w:r>
      <w:r w:rsidRPr="000B5EA1">
        <w:rPr>
          <w:rFonts w:eastAsia="Times New Roman" w:cs="Times New Roman"/>
          <w:bCs/>
        </w:rPr>
        <w:t>ol. 2</w:t>
      </w:r>
      <w:r>
        <w:rPr>
          <w:rFonts w:eastAsia="Times New Roman" w:cs="Times New Roman"/>
          <w:bCs/>
        </w:rPr>
        <w:t>, pp. 375-393</w:t>
      </w:r>
      <w:r w:rsidRPr="000B5EA1">
        <w:rPr>
          <w:rFonts w:eastAsia="Times New Roman" w:cs="Times New Roman"/>
          <w:bCs/>
        </w:rPr>
        <w:t>).</w:t>
      </w:r>
      <w:proofErr w:type="gramEnd"/>
      <w:r w:rsidRPr="007A10DD">
        <w:rPr>
          <w:rFonts w:eastAsia="Times New Roman" w:cs="Times New Roman"/>
          <w:bCs/>
        </w:rPr>
        <w:t xml:space="preserve"> Oxf</w:t>
      </w:r>
      <w:bookmarkStart w:id="1" w:name="_GoBack"/>
      <w:bookmarkEnd w:id="1"/>
      <w:r w:rsidRPr="007A10DD">
        <w:rPr>
          <w:rFonts w:eastAsia="Times New Roman" w:cs="Times New Roman"/>
          <w:bCs/>
        </w:rPr>
        <w:t>ord</w:t>
      </w:r>
      <w:r>
        <w:rPr>
          <w:rFonts w:eastAsia="Times New Roman" w:cs="Times New Roman"/>
          <w:bCs/>
        </w:rPr>
        <w:t>, UK</w:t>
      </w:r>
      <w:r w:rsidRPr="007A10DD">
        <w:rPr>
          <w:rFonts w:eastAsia="Times New Roman" w:cs="Times New Roman"/>
          <w:bCs/>
        </w:rPr>
        <w:t>: Oxford University Press.</w:t>
      </w:r>
    </w:p>
    <w:p w:rsidR="009459DB" w:rsidRPr="007A10DD" w:rsidRDefault="009459DB" w:rsidP="009459DB">
      <w:pPr>
        <w:ind w:left="720" w:hanging="720"/>
        <w:rPr>
          <w:rFonts w:eastAsia="Times New Roman" w:cs="Times New Roman"/>
        </w:rPr>
      </w:pPr>
    </w:p>
    <w:p w:rsidR="00AF0E7E" w:rsidRDefault="00AF0E7E" w:rsidP="00AF0E7E">
      <w:pPr>
        <w:ind w:left="720" w:hanging="720"/>
      </w:pPr>
      <w:proofErr w:type="gramStart"/>
      <w:r>
        <w:t>National Academy of Sciences.</w:t>
      </w:r>
      <w:proofErr w:type="gramEnd"/>
      <w:r>
        <w:t xml:space="preserve"> (2011).</w:t>
      </w:r>
      <w:r w:rsidRPr="0014673C">
        <w:t xml:space="preserve"> </w:t>
      </w:r>
      <w:r w:rsidRPr="00500622">
        <w:rPr>
          <w:i/>
        </w:rPr>
        <w:t>Expanding underrepresented minority participation: America's science and technology talent at the crossroads</w:t>
      </w:r>
      <w:r>
        <w:t>. Washington, DC: Author.</w:t>
      </w:r>
    </w:p>
    <w:p w:rsidR="00AF0E7E" w:rsidRDefault="00AF0E7E" w:rsidP="00AF0E7E">
      <w:pPr>
        <w:ind w:left="720" w:hanging="720"/>
      </w:pPr>
    </w:p>
    <w:p w:rsidR="00AF0E7E" w:rsidRDefault="00AF0E7E" w:rsidP="00AF0E7E">
      <w:pPr>
        <w:ind w:left="720" w:hanging="720"/>
      </w:pPr>
      <w:r>
        <w:t xml:space="preserve">National Science Foundation, Division of Science Resources Statistics. </w:t>
      </w:r>
      <w:proofErr w:type="gramStart"/>
      <w:r>
        <w:t xml:space="preserve">(2004). </w:t>
      </w:r>
      <w:r w:rsidRPr="00AE2215">
        <w:rPr>
          <w:i/>
        </w:rPr>
        <w:t>Women, minorities, and persons with disabilities in science and engineering</w:t>
      </w:r>
      <w:r>
        <w:t xml:space="preserve"> (NSF 04–317).</w:t>
      </w:r>
      <w:proofErr w:type="gramEnd"/>
      <w:r>
        <w:t xml:space="preserve"> Washington, DC: National Science Foundation.</w:t>
      </w:r>
    </w:p>
    <w:p w:rsidR="00066DCA" w:rsidRDefault="00066DCA" w:rsidP="00AF0E7E">
      <w:pPr>
        <w:ind w:left="720" w:hanging="720"/>
      </w:pPr>
    </w:p>
    <w:p w:rsidR="00066DCA" w:rsidRDefault="00066DCA" w:rsidP="00066DCA">
      <w:pPr>
        <w:pStyle w:val="NoSpacing"/>
        <w:widowControl w:val="0"/>
        <w:ind w:left="720" w:hanging="720"/>
        <w:rPr>
          <w:rFonts w:cs="Times New Roman"/>
        </w:rPr>
      </w:pPr>
      <w:proofErr w:type="spellStart"/>
      <w:proofErr w:type="gramStart"/>
      <w:r w:rsidRPr="00983A05">
        <w:rPr>
          <w:rFonts w:cs="Times New Roman"/>
        </w:rPr>
        <w:t>Nylund</w:t>
      </w:r>
      <w:proofErr w:type="spellEnd"/>
      <w:r w:rsidRPr="00983A05">
        <w:rPr>
          <w:rFonts w:cs="Times New Roman"/>
        </w:rPr>
        <w:t xml:space="preserve">, K. L., </w:t>
      </w:r>
      <w:proofErr w:type="spellStart"/>
      <w:r w:rsidRPr="00983A05">
        <w:rPr>
          <w:rFonts w:cs="Times New Roman"/>
        </w:rPr>
        <w:t>Asparouhov</w:t>
      </w:r>
      <w:proofErr w:type="spellEnd"/>
      <w:r w:rsidRPr="00983A05">
        <w:rPr>
          <w:rFonts w:cs="Times New Roman"/>
        </w:rPr>
        <w:t xml:space="preserve">, T., &amp; </w:t>
      </w:r>
      <w:proofErr w:type="spellStart"/>
      <w:r w:rsidRPr="00983A05">
        <w:rPr>
          <w:rFonts w:cs="Times New Roman"/>
        </w:rPr>
        <w:t>Muthén</w:t>
      </w:r>
      <w:proofErr w:type="spellEnd"/>
      <w:r w:rsidRPr="00983A05">
        <w:rPr>
          <w:rFonts w:cs="Times New Roman"/>
        </w:rPr>
        <w:t>, B. O. (2007).</w:t>
      </w:r>
      <w:proofErr w:type="gramEnd"/>
      <w:r w:rsidRPr="00983A05">
        <w:rPr>
          <w:rFonts w:cs="Times New Roman"/>
        </w:rPr>
        <w:t xml:space="preserve"> </w:t>
      </w:r>
      <w:proofErr w:type="gramStart"/>
      <w:r w:rsidRPr="00983A05">
        <w:rPr>
          <w:rFonts w:cs="Times New Roman"/>
        </w:rPr>
        <w:t>Deciding on the number of classes in latent class analysis and growth mixture modeling: A Monte Carlo simulation study.</w:t>
      </w:r>
      <w:proofErr w:type="gramEnd"/>
      <w:r w:rsidRPr="00983A05">
        <w:rPr>
          <w:rFonts w:cs="Times New Roman"/>
        </w:rPr>
        <w:t xml:space="preserve"> </w:t>
      </w:r>
      <w:r w:rsidRPr="00983A05">
        <w:rPr>
          <w:rFonts w:cs="Times New Roman"/>
          <w:i/>
        </w:rPr>
        <w:t>Structural Equation Modeling: A Multidisciplinary Journal</w:t>
      </w:r>
      <w:r w:rsidRPr="00983A05">
        <w:rPr>
          <w:rFonts w:cs="Times New Roman"/>
          <w:i/>
          <w:iCs/>
        </w:rPr>
        <w:t>, 14</w:t>
      </w:r>
      <w:r w:rsidRPr="00983A05">
        <w:rPr>
          <w:rFonts w:cs="Times New Roman"/>
        </w:rPr>
        <w:t>, 535–569. d</w:t>
      </w:r>
      <w:r>
        <w:rPr>
          <w:rFonts w:cs="Times New Roman"/>
        </w:rPr>
        <w:t>oi</w:t>
      </w:r>
      <w:r w:rsidRPr="00983A05">
        <w:rPr>
          <w:rFonts w:cs="Times New Roman"/>
        </w:rPr>
        <w:t>:10.1111/j.1467-8624.2007.01097.x</w:t>
      </w:r>
    </w:p>
    <w:p w:rsidR="00066DCA" w:rsidRPr="00983A05" w:rsidRDefault="00066DCA" w:rsidP="00066DCA">
      <w:pPr>
        <w:pStyle w:val="NoSpacing"/>
        <w:widowControl w:val="0"/>
        <w:ind w:left="720" w:hanging="720"/>
        <w:rPr>
          <w:rFonts w:cs="Times New Roman"/>
        </w:rPr>
      </w:pPr>
    </w:p>
    <w:p w:rsidR="00066DCA" w:rsidRPr="002D5E35" w:rsidRDefault="00066DCA" w:rsidP="00066DCA">
      <w:pPr>
        <w:pStyle w:val="NoSpacing"/>
        <w:widowControl w:val="0"/>
        <w:ind w:left="720" w:hanging="720"/>
        <w:rPr>
          <w:bCs/>
        </w:rPr>
      </w:pPr>
      <w:proofErr w:type="spellStart"/>
      <w:proofErr w:type="gramStart"/>
      <w:r w:rsidRPr="00D46E27">
        <w:t>Nylund</w:t>
      </w:r>
      <w:proofErr w:type="spellEnd"/>
      <w:r>
        <w:t>-Gibson</w:t>
      </w:r>
      <w:r w:rsidRPr="00D46E27">
        <w:t xml:space="preserve">, K. L., &amp; </w:t>
      </w:r>
      <w:proofErr w:type="spellStart"/>
      <w:r w:rsidRPr="00D46E27">
        <w:t>Masyn</w:t>
      </w:r>
      <w:proofErr w:type="spellEnd"/>
      <w:r w:rsidRPr="00D46E27">
        <w:t>, K. E. (2011</w:t>
      </w:r>
      <w:r>
        <w:t>, April</w:t>
      </w:r>
      <w:r w:rsidRPr="00D46E27">
        <w:t>).</w:t>
      </w:r>
      <w:proofErr w:type="gramEnd"/>
      <w:r w:rsidRPr="00D46E27">
        <w:t xml:space="preserve"> </w:t>
      </w:r>
      <w:proofErr w:type="gramStart"/>
      <w:r w:rsidRPr="00E1582F">
        <w:rPr>
          <w:bCs/>
        </w:rPr>
        <w:t>Including auxiliary variables in latent class analysis</w:t>
      </w:r>
      <w:r w:rsidRPr="000B5EA1">
        <w:rPr>
          <w:bCs/>
          <w:i/>
        </w:rPr>
        <w:t>.</w:t>
      </w:r>
      <w:proofErr w:type="gramEnd"/>
      <w:r>
        <w:rPr>
          <w:bCs/>
          <w:i/>
        </w:rPr>
        <w:t xml:space="preserve"> </w:t>
      </w:r>
      <w:r>
        <w:rPr>
          <w:bCs/>
        </w:rPr>
        <w:t xml:space="preserve">In K. </w:t>
      </w:r>
      <w:proofErr w:type="spellStart"/>
      <w:r>
        <w:rPr>
          <w:bCs/>
        </w:rPr>
        <w:t>Nylund</w:t>
      </w:r>
      <w:proofErr w:type="spellEnd"/>
      <w:r>
        <w:rPr>
          <w:bCs/>
        </w:rPr>
        <w:t xml:space="preserve">-Gibson (Chair), </w:t>
      </w:r>
      <w:proofErr w:type="gramStart"/>
      <w:r w:rsidRPr="00E1582F">
        <w:rPr>
          <w:bCs/>
          <w:i/>
        </w:rPr>
        <w:t>An</w:t>
      </w:r>
      <w:proofErr w:type="gramEnd"/>
      <w:r w:rsidRPr="00E1582F">
        <w:rPr>
          <w:bCs/>
          <w:i/>
        </w:rPr>
        <w:t xml:space="preserve"> overview of latent class </w:t>
      </w:r>
      <w:r w:rsidRPr="007F12E0">
        <w:rPr>
          <w:bCs/>
          <w:i/>
        </w:rPr>
        <w:t xml:space="preserve">analysis: </w:t>
      </w:r>
      <w:r>
        <w:rPr>
          <w:bCs/>
          <w:i/>
        </w:rPr>
        <w:t>A</w:t>
      </w:r>
      <w:r w:rsidRPr="00E1582F">
        <w:rPr>
          <w:bCs/>
          <w:i/>
        </w:rPr>
        <w:t>pplication and issues</w:t>
      </w:r>
      <w:r>
        <w:rPr>
          <w:bCs/>
        </w:rPr>
        <w:t xml:space="preserve">. Symposium conducted at the 91st Annual Meeting of the </w:t>
      </w:r>
      <w:r w:rsidRPr="00AF433B">
        <w:rPr>
          <w:bCs/>
        </w:rPr>
        <w:t>Western Psychological Association</w:t>
      </w:r>
      <w:r>
        <w:rPr>
          <w:bCs/>
        </w:rPr>
        <w:t xml:space="preserve">, </w:t>
      </w:r>
      <w:r w:rsidRPr="00AF433B">
        <w:rPr>
          <w:bCs/>
        </w:rPr>
        <w:t>Los</w:t>
      </w:r>
      <w:r>
        <w:rPr>
          <w:bCs/>
        </w:rPr>
        <w:t xml:space="preserve"> </w:t>
      </w:r>
      <w:r w:rsidRPr="00AF433B">
        <w:rPr>
          <w:bCs/>
        </w:rPr>
        <w:t>Angeles,</w:t>
      </w:r>
      <w:r>
        <w:rPr>
          <w:bCs/>
        </w:rPr>
        <w:t xml:space="preserve"> </w:t>
      </w:r>
      <w:r w:rsidRPr="00AF433B">
        <w:rPr>
          <w:bCs/>
        </w:rPr>
        <w:t>CA.</w:t>
      </w:r>
    </w:p>
    <w:p w:rsidR="00066DCA" w:rsidRDefault="00066DCA" w:rsidP="00AF0E7E">
      <w:pPr>
        <w:ind w:left="720" w:hanging="720"/>
      </w:pPr>
    </w:p>
    <w:p w:rsidR="00AF0E7E" w:rsidRDefault="00AF0E7E" w:rsidP="00AF0E7E">
      <w:pPr>
        <w:ind w:left="720" w:hanging="720"/>
      </w:pPr>
      <w:proofErr w:type="spellStart"/>
      <w:r w:rsidRPr="000E7D62">
        <w:t>Oseguera</w:t>
      </w:r>
      <w:proofErr w:type="spellEnd"/>
      <w:r w:rsidRPr="000E7D62">
        <w:t xml:space="preserve">, L., </w:t>
      </w:r>
      <w:proofErr w:type="spellStart"/>
      <w:r w:rsidRPr="000E7D62">
        <w:t>Hurtado</w:t>
      </w:r>
      <w:proofErr w:type="spellEnd"/>
      <w:r w:rsidRPr="000E7D62">
        <w:t xml:space="preserve">, S., Denson, N., </w:t>
      </w:r>
      <w:proofErr w:type="spellStart"/>
      <w:r w:rsidRPr="000E7D62">
        <w:t>Cerna</w:t>
      </w:r>
      <w:proofErr w:type="spellEnd"/>
      <w:r w:rsidRPr="000E7D62">
        <w:t xml:space="preserve">, O., &amp; Saenz, V. (2006). The characteristics and experiences of minority freshmen committed to biomedical and behavioral science research careers. </w:t>
      </w:r>
      <w:r w:rsidRPr="000E7D62">
        <w:rPr>
          <w:i/>
        </w:rPr>
        <w:t>Journal of Women and Minorities in Science and Engineering</w:t>
      </w:r>
      <w:r w:rsidRPr="000E7D62">
        <w:t xml:space="preserve">, </w:t>
      </w:r>
      <w:r w:rsidRPr="000E7D62">
        <w:rPr>
          <w:i/>
        </w:rPr>
        <w:t>12</w:t>
      </w:r>
      <w:r w:rsidRPr="000E7D62">
        <w:t>(2-3), 155-177.</w:t>
      </w:r>
    </w:p>
    <w:p w:rsidR="00AF0E7E" w:rsidRDefault="00AF0E7E" w:rsidP="00AF0E7E">
      <w:pPr>
        <w:ind w:left="720" w:hanging="720"/>
      </w:pPr>
    </w:p>
    <w:p w:rsidR="00AF0E7E" w:rsidRDefault="00AF0E7E" w:rsidP="00AF0E7E">
      <w:pPr>
        <w:ind w:left="720" w:hanging="720"/>
      </w:pPr>
      <w:proofErr w:type="gramStart"/>
      <w:r w:rsidRPr="000E7D62">
        <w:t>Russell, M. L., &amp; Atwater, M. M. (2005).</w:t>
      </w:r>
      <w:proofErr w:type="gramEnd"/>
      <w:r w:rsidRPr="000E7D62">
        <w:t xml:space="preserve"> </w:t>
      </w:r>
      <w:proofErr w:type="gramStart"/>
      <w:r w:rsidRPr="000E7D62">
        <w:t>Traveling the road to success: A discourse on persistence throughout the science pipeline with African American students at a predominantly White institution.</w:t>
      </w:r>
      <w:proofErr w:type="gramEnd"/>
      <w:r w:rsidRPr="000E7D62">
        <w:t xml:space="preserve"> </w:t>
      </w:r>
      <w:r w:rsidRPr="000E7D62">
        <w:rPr>
          <w:i/>
        </w:rPr>
        <w:t>Journal of Research in Science Teaching</w:t>
      </w:r>
      <w:r w:rsidRPr="000E7D62">
        <w:t xml:space="preserve">, </w:t>
      </w:r>
      <w:r w:rsidRPr="000E7D62">
        <w:rPr>
          <w:i/>
        </w:rPr>
        <w:t>42</w:t>
      </w:r>
      <w:r w:rsidRPr="000E7D62">
        <w:t>(6), 691-715.</w:t>
      </w:r>
    </w:p>
    <w:p w:rsidR="00066DCA" w:rsidRPr="00983A05" w:rsidRDefault="00066DCA" w:rsidP="00066DCA">
      <w:pPr>
        <w:pStyle w:val="NoSpacing"/>
        <w:widowControl w:val="0"/>
        <w:spacing w:line="480" w:lineRule="auto"/>
        <w:ind w:left="720" w:hanging="720"/>
        <w:rPr>
          <w:rFonts w:cs="Times New Roman"/>
        </w:rPr>
      </w:pPr>
      <w:r w:rsidRPr="00983A05">
        <w:rPr>
          <w:rFonts w:cs="Times New Roman"/>
        </w:rPr>
        <w:t xml:space="preserve">Schwartz, G. (1978). </w:t>
      </w:r>
      <w:proofErr w:type="gramStart"/>
      <w:r w:rsidRPr="00983A05">
        <w:rPr>
          <w:rFonts w:cs="Times New Roman"/>
        </w:rPr>
        <w:t>Estimating the dimension of a model.</w:t>
      </w:r>
      <w:proofErr w:type="gramEnd"/>
      <w:r w:rsidRPr="00983A05">
        <w:rPr>
          <w:rFonts w:cs="Times New Roman"/>
        </w:rPr>
        <w:t xml:space="preserve"> </w:t>
      </w:r>
      <w:r w:rsidRPr="00983A05">
        <w:rPr>
          <w:rFonts w:cs="Times New Roman"/>
          <w:i/>
        </w:rPr>
        <w:t>The Annals of Statistics, 6,</w:t>
      </w:r>
      <w:r w:rsidRPr="00983A05">
        <w:rPr>
          <w:rFonts w:cs="Times New Roman"/>
        </w:rPr>
        <w:t xml:space="preserve"> 461–464.</w:t>
      </w:r>
    </w:p>
    <w:p w:rsidR="00AF0E7E" w:rsidRDefault="00AF0E7E" w:rsidP="00AF0E7E">
      <w:pPr>
        <w:ind w:left="720" w:hanging="720"/>
      </w:pPr>
      <w:proofErr w:type="gramStart"/>
      <w:r>
        <w:t xml:space="preserve">Schuman, H., </w:t>
      </w:r>
      <w:proofErr w:type="spellStart"/>
      <w:r>
        <w:t>Steeh</w:t>
      </w:r>
      <w:proofErr w:type="spellEnd"/>
      <w:r>
        <w:t xml:space="preserve">, C., </w:t>
      </w:r>
      <w:proofErr w:type="spellStart"/>
      <w:r>
        <w:t>Bobo</w:t>
      </w:r>
      <w:proofErr w:type="spellEnd"/>
      <w:r>
        <w:t xml:space="preserve">, L., &amp; </w:t>
      </w:r>
      <w:proofErr w:type="spellStart"/>
      <w:r>
        <w:t>Krysan</w:t>
      </w:r>
      <w:proofErr w:type="spellEnd"/>
      <w:r>
        <w:t>, M. (1997).</w:t>
      </w:r>
      <w:proofErr w:type="gramEnd"/>
      <w:r>
        <w:t xml:space="preserve"> </w:t>
      </w:r>
      <w:r w:rsidRPr="00AE2215">
        <w:rPr>
          <w:i/>
        </w:rPr>
        <w:t>Racial attitudes in America: Trends and interpretations</w:t>
      </w:r>
      <w:r>
        <w:t>. Cambridge, MA: Harvard University Press.</w:t>
      </w:r>
    </w:p>
    <w:p w:rsidR="00066DCA" w:rsidRDefault="00066DCA" w:rsidP="00AF0E7E">
      <w:pPr>
        <w:ind w:left="720" w:hanging="720"/>
      </w:pPr>
    </w:p>
    <w:p w:rsidR="00066DCA" w:rsidRPr="00CB401B" w:rsidRDefault="00066DCA" w:rsidP="00066DCA">
      <w:pPr>
        <w:widowControl w:val="0"/>
        <w:autoSpaceDE w:val="0"/>
        <w:autoSpaceDN w:val="0"/>
        <w:adjustRightInd w:val="0"/>
        <w:ind w:left="720" w:hanging="720"/>
        <w:rPr>
          <w:rFonts w:cs="Times New Roman"/>
        </w:rPr>
      </w:pPr>
      <w:r>
        <w:rPr>
          <w:rFonts w:cs="Times New Roman"/>
        </w:rPr>
        <w:t xml:space="preserve">Wasserman, L. (2000). </w:t>
      </w:r>
      <w:proofErr w:type="gramStart"/>
      <w:r>
        <w:rPr>
          <w:rFonts w:cs="Times New Roman"/>
        </w:rPr>
        <w:t>Bayesian model selection and model averaging.</w:t>
      </w:r>
      <w:proofErr w:type="gramEnd"/>
      <w:r>
        <w:rPr>
          <w:rFonts w:cs="Times New Roman"/>
        </w:rPr>
        <w:t xml:space="preserve">  </w:t>
      </w:r>
      <w:r w:rsidRPr="00D46E27">
        <w:rPr>
          <w:rFonts w:cs="Times New Roman"/>
          <w:i/>
        </w:rPr>
        <w:t>Journal of Mathematical Psychology, 44</w:t>
      </w:r>
      <w:r>
        <w:rPr>
          <w:rFonts w:cs="Times New Roman"/>
        </w:rPr>
        <w:t>, 92–107.</w:t>
      </w:r>
    </w:p>
    <w:p w:rsidR="00AF0E7E" w:rsidRDefault="00AF0E7E" w:rsidP="00AF0E7E">
      <w:pPr>
        <w:ind w:left="720" w:hanging="720"/>
      </w:pPr>
    </w:p>
    <w:p w:rsidR="00AF0E7E" w:rsidRDefault="00AF0E7E" w:rsidP="00AF0E7E">
      <w:pPr>
        <w:ind w:left="720" w:hanging="720"/>
      </w:pPr>
      <w:proofErr w:type="gramStart"/>
      <w:r w:rsidRPr="000E7D62">
        <w:t xml:space="preserve">White, J. L., </w:t>
      </w:r>
      <w:proofErr w:type="spellStart"/>
      <w:r w:rsidRPr="000E7D62">
        <w:t>Altschuld</w:t>
      </w:r>
      <w:proofErr w:type="spellEnd"/>
      <w:r w:rsidRPr="000E7D62">
        <w:t>, J. W., &amp; Lee, Y. (2006).</w:t>
      </w:r>
      <w:proofErr w:type="gramEnd"/>
      <w:r w:rsidRPr="000E7D62">
        <w:t xml:space="preserve"> Persistence of interest in science, technology, engineering, and mathematics: A minority retention study. </w:t>
      </w:r>
      <w:r w:rsidRPr="000E7D62">
        <w:rPr>
          <w:i/>
        </w:rPr>
        <w:t>Journal of Women and Minorities in Science and Engineering</w:t>
      </w:r>
      <w:r w:rsidRPr="000E7D62">
        <w:t xml:space="preserve">, </w:t>
      </w:r>
      <w:r w:rsidRPr="000E7D62">
        <w:rPr>
          <w:i/>
        </w:rPr>
        <w:t>12</w:t>
      </w:r>
      <w:r w:rsidRPr="000E7D62">
        <w:t>(1), 47-64.</w:t>
      </w:r>
    </w:p>
    <w:p w:rsidR="00AF0E7E" w:rsidRDefault="00AF0E7E" w:rsidP="00AF0E7E"/>
    <w:p w:rsidR="00AF0E7E" w:rsidRDefault="00AF0E7E" w:rsidP="00AF0E7E"/>
    <w:p w:rsidR="00AF0E7E" w:rsidRDefault="00AF0E7E" w:rsidP="00AF0E7E"/>
    <w:p w:rsidR="00D50DF6" w:rsidRDefault="00D50DF6" w:rsidP="00D50DF6">
      <w:pPr>
        <w:spacing w:line="480" w:lineRule="auto"/>
      </w:pPr>
    </w:p>
    <w:p w:rsidR="00D50DF6" w:rsidRDefault="00D50DF6" w:rsidP="00D50DF6">
      <w:pPr>
        <w:spacing w:line="480" w:lineRule="auto"/>
      </w:pPr>
    </w:p>
    <w:p w:rsidR="00D50DF6" w:rsidRDefault="00D50DF6">
      <w:r>
        <w:br w:type="page"/>
      </w:r>
    </w:p>
    <w:p w:rsidR="00D50DF6" w:rsidRDefault="00D50DF6" w:rsidP="00D50DF6">
      <w:r>
        <w:lastRenderedPageBreak/>
        <w:t>Table 1</w:t>
      </w:r>
    </w:p>
    <w:p w:rsidR="00D50DF6" w:rsidRDefault="00D50DF6" w:rsidP="00D50DF6"/>
    <w:p w:rsidR="00D50DF6" w:rsidRDefault="00197BE3" w:rsidP="00D50DF6">
      <w:pPr>
        <w:rPr>
          <w:i/>
        </w:rPr>
      </w:pPr>
      <w:proofErr w:type="spellStart"/>
      <w:r w:rsidRPr="00197BE3">
        <w:rPr>
          <w:i/>
        </w:rPr>
        <w:t>Descriptives</w:t>
      </w:r>
      <w:proofErr w:type="spellEnd"/>
      <w:r w:rsidRPr="00197BE3">
        <w:rPr>
          <w:i/>
        </w:rPr>
        <w:t xml:space="preserve"> of Mathematics and Science Attitude Item</w:t>
      </w:r>
      <w:r>
        <w:rPr>
          <w:i/>
        </w:rPr>
        <w:t>s</w:t>
      </w:r>
    </w:p>
    <w:p w:rsidR="00197BE3" w:rsidRDefault="00197BE3" w:rsidP="00D50DF6"/>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8"/>
        <w:gridCol w:w="1376"/>
        <w:gridCol w:w="1414"/>
        <w:gridCol w:w="1440"/>
      </w:tblGrid>
      <w:tr w:rsidR="00197BE3" w:rsidTr="00197BE3">
        <w:tc>
          <w:tcPr>
            <w:tcW w:w="5328" w:type="dxa"/>
            <w:tcBorders>
              <w:top w:val="single" w:sz="4" w:space="0" w:color="auto"/>
              <w:bottom w:val="single" w:sz="4" w:space="0" w:color="auto"/>
            </w:tcBorders>
          </w:tcPr>
          <w:p w:rsidR="00197BE3" w:rsidRDefault="00197BE3" w:rsidP="00D50DF6"/>
        </w:tc>
        <w:tc>
          <w:tcPr>
            <w:tcW w:w="1376" w:type="dxa"/>
            <w:tcBorders>
              <w:top w:val="single" w:sz="4" w:space="0" w:color="auto"/>
              <w:bottom w:val="single" w:sz="4" w:space="0" w:color="auto"/>
            </w:tcBorders>
          </w:tcPr>
          <w:p w:rsidR="00197BE3" w:rsidRPr="00197BE3" w:rsidRDefault="00197BE3" w:rsidP="00197BE3">
            <w:pPr>
              <w:jc w:val="center"/>
              <w:rPr>
                <w:i/>
              </w:rPr>
            </w:pPr>
            <w:r>
              <w:rPr>
                <w:i/>
              </w:rPr>
              <w:t>N</w:t>
            </w:r>
          </w:p>
        </w:tc>
        <w:tc>
          <w:tcPr>
            <w:tcW w:w="1414" w:type="dxa"/>
            <w:tcBorders>
              <w:top w:val="single" w:sz="4" w:space="0" w:color="auto"/>
              <w:bottom w:val="single" w:sz="4" w:space="0" w:color="auto"/>
            </w:tcBorders>
          </w:tcPr>
          <w:p w:rsidR="00197BE3" w:rsidRPr="00197BE3" w:rsidRDefault="00197BE3" w:rsidP="00197BE3">
            <w:pPr>
              <w:jc w:val="center"/>
              <w:rPr>
                <w:i/>
              </w:rPr>
            </w:pPr>
            <w:r w:rsidRPr="00197BE3">
              <w:rPr>
                <w:i/>
              </w:rPr>
              <w:t>M</w:t>
            </w:r>
          </w:p>
        </w:tc>
        <w:tc>
          <w:tcPr>
            <w:tcW w:w="1440" w:type="dxa"/>
            <w:tcBorders>
              <w:top w:val="single" w:sz="4" w:space="0" w:color="auto"/>
              <w:bottom w:val="single" w:sz="4" w:space="0" w:color="auto"/>
            </w:tcBorders>
          </w:tcPr>
          <w:p w:rsidR="00197BE3" w:rsidRPr="00197BE3" w:rsidRDefault="00197BE3" w:rsidP="00197BE3">
            <w:pPr>
              <w:jc w:val="center"/>
              <w:rPr>
                <w:i/>
              </w:rPr>
            </w:pPr>
            <w:r w:rsidRPr="00197BE3">
              <w:rPr>
                <w:i/>
              </w:rPr>
              <w:t>SD</w:t>
            </w:r>
          </w:p>
        </w:tc>
      </w:tr>
      <w:tr w:rsidR="00197BE3" w:rsidTr="00197BE3">
        <w:tc>
          <w:tcPr>
            <w:tcW w:w="5328" w:type="dxa"/>
            <w:tcBorders>
              <w:top w:val="single" w:sz="4" w:space="0" w:color="auto"/>
            </w:tcBorders>
          </w:tcPr>
          <w:p w:rsidR="00197BE3" w:rsidRDefault="00197BE3" w:rsidP="00D50DF6">
            <w:r>
              <w:t>I enjoy math</w:t>
            </w:r>
          </w:p>
        </w:tc>
        <w:tc>
          <w:tcPr>
            <w:tcW w:w="1376" w:type="dxa"/>
            <w:tcBorders>
              <w:top w:val="single" w:sz="4" w:space="0" w:color="auto"/>
            </w:tcBorders>
          </w:tcPr>
          <w:p w:rsidR="00197BE3" w:rsidRDefault="00197BE3" w:rsidP="00197BE3">
            <w:pPr>
              <w:jc w:val="center"/>
            </w:pPr>
            <w:r>
              <w:t>2875</w:t>
            </w:r>
          </w:p>
        </w:tc>
        <w:tc>
          <w:tcPr>
            <w:tcW w:w="1414" w:type="dxa"/>
            <w:tcBorders>
              <w:top w:val="single" w:sz="4" w:space="0" w:color="auto"/>
            </w:tcBorders>
          </w:tcPr>
          <w:p w:rsidR="00197BE3" w:rsidRDefault="00197BE3" w:rsidP="00197BE3">
            <w:pPr>
              <w:jc w:val="center"/>
            </w:pPr>
            <w:r>
              <w:t>3.71</w:t>
            </w:r>
          </w:p>
        </w:tc>
        <w:tc>
          <w:tcPr>
            <w:tcW w:w="1440" w:type="dxa"/>
            <w:tcBorders>
              <w:top w:val="single" w:sz="4" w:space="0" w:color="auto"/>
            </w:tcBorders>
          </w:tcPr>
          <w:p w:rsidR="00197BE3" w:rsidRDefault="00197BE3" w:rsidP="00197BE3">
            <w:pPr>
              <w:jc w:val="center"/>
            </w:pPr>
            <w:r>
              <w:t>1.18</w:t>
            </w:r>
          </w:p>
        </w:tc>
      </w:tr>
      <w:tr w:rsidR="00197BE3" w:rsidTr="00197BE3">
        <w:tc>
          <w:tcPr>
            <w:tcW w:w="5328" w:type="dxa"/>
          </w:tcPr>
          <w:p w:rsidR="00197BE3" w:rsidRDefault="00197BE3" w:rsidP="00D50DF6">
            <w:r>
              <w:t>Math is useful I everyday problems</w:t>
            </w:r>
          </w:p>
        </w:tc>
        <w:tc>
          <w:tcPr>
            <w:tcW w:w="1376" w:type="dxa"/>
          </w:tcPr>
          <w:p w:rsidR="00197BE3" w:rsidRDefault="00197BE3" w:rsidP="00197BE3">
            <w:pPr>
              <w:jc w:val="center"/>
            </w:pPr>
            <w:r>
              <w:t>2819</w:t>
            </w:r>
          </w:p>
        </w:tc>
        <w:tc>
          <w:tcPr>
            <w:tcW w:w="1414" w:type="dxa"/>
          </w:tcPr>
          <w:p w:rsidR="00197BE3" w:rsidRDefault="00197BE3" w:rsidP="00197BE3">
            <w:pPr>
              <w:jc w:val="center"/>
            </w:pPr>
            <w:r>
              <w:t>3.87</w:t>
            </w:r>
          </w:p>
        </w:tc>
        <w:tc>
          <w:tcPr>
            <w:tcW w:w="1440" w:type="dxa"/>
          </w:tcPr>
          <w:p w:rsidR="00197BE3" w:rsidRDefault="00197BE3" w:rsidP="00197BE3">
            <w:pPr>
              <w:jc w:val="center"/>
            </w:pPr>
            <w:r>
              <w:t>1.01</w:t>
            </w:r>
          </w:p>
        </w:tc>
      </w:tr>
      <w:tr w:rsidR="00197BE3" w:rsidTr="00197BE3">
        <w:tc>
          <w:tcPr>
            <w:tcW w:w="5328" w:type="dxa"/>
          </w:tcPr>
          <w:p w:rsidR="00197BE3" w:rsidRDefault="00197BE3" w:rsidP="00D50DF6">
            <w:r>
              <w:t>Math helps a person think logically</w:t>
            </w:r>
          </w:p>
        </w:tc>
        <w:tc>
          <w:tcPr>
            <w:tcW w:w="1376" w:type="dxa"/>
          </w:tcPr>
          <w:p w:rsidR="00197BE3" w:rsidRDefault="00197BE3" w:rsidP="00197BE3">
            <w:pPr>
              <w:jc w:val="center"/>
            </w:pPr>
            <w:r>
              <w:t>2160</w:t>
            </w:r>
          </w:p>
        </w:tc>
        <w:tc>
          <w:tcPr>
            <w:tcW w:w="1414" w:type="dxa"/>
          </w:tcPr>
          <w:p w:rsidR="00197BE3" w:rsidRDefault="00197BE3" w:rsidP="00197BE3">
            <w:pPr>
              <w:jc w:val="center"/>
            </w:pPr>
            <w:r>
              <w:t>3.39</w:t>
            </w:r>
          </w:p>
        </w:tc>
        <w:tc>
          <w:tcPr>
            <w:tcW w:w="1440" w:type="dxa"/>
          </w:tcPr>
          <w:p w:rsidR="00197BE3" w:rsidRDefault="00197BE3" w:rsidP="00197BE3">
            <w:pPr>
              <w:jc w:val="center"/>
            </w:pPr>
            <w:r>
              <w:t>0.78</w:t>
            </w:r>
          </w:p>
        </w:tc>
      </w:tr>
      <w:tr w:rsidR="00197BE3" w:rsidTr="00197BE3">
        <w:tc>
          <w:tcPr>
            <w:tcW w:w="5328" w:type="dxa"/>
          </w:tcPr>
          <w:p w:rsidR="00197BE3" w:rsidRDefault="00197BE3" w:rsidP="00D50DF6">
            <w:r>
              <w:t>It is important to know math to get a good job</w:t>
            </w:r>
          </w:p>
        </w:tc>
        <w:tc>
          <w:tcPr>
            <w:tcW w:w="1376" w:type="dxa"/>
          </w:tcPr>
          <w:p w:rsidR="00197BE3" w:rsidRDefault="00197BE3" w:rsidP="00197BE3">
            <w:pPr>
              <w:jc w:val="center"/>
            </w:pPr>
            <w:r>
              <w:t>2824</w:t>
            </w:r>
          </w:p>
        </w:tc>
        <w:tc>
          <w:tcPr>
            <w:tcW w:w="1414" w:type="dxa"/>
          </w:tcPr>
          <w:p w:rsidR="00197BE3" w:rsidRDefault="00197BE3" w:rsidP="00197BE3">
            <w:pPr>
              <w:jc w:val="center"/>
            </w:pPr>
            <w:r>
              <w:t>4.05</w:t>
            </w:r>
          </w:p>
        </w:tc>
        <w:tc>
          <w:tcPr>
            <w:tcW w:w="1440" w:type="dxa"/>
          </w:tcPr>
          <w:p w:rsidR="00197BE3" w:rsidRDefault="00197BE3" w:rsidP="00197BE3">
            <w:pPr>
              <w:jc w:val="center"/>
            </w:pPr>
            <w:r>
              <w:t>0.96</w:t>
            </w:r>
          </w:p>
        </w:tc>
      </w:tr>
      <w:tr w:rsidR="00197BE3" w:rsidTr="00197BE3">
        <w:tc>
          <w:tcPr>
            <w:tcW w:w="5328" w:type="dxa"/>
          </w:tcPr>
          <w:p w:rsidR="00197BE3" w:rsidRDefault="00197BE3" w:rsidP="00D50DF6">
            <w:r>
              <w:t>I will use math in many ways as an adult</w:t>
            </w:r>
          </w:p>
        </w:tc>
        <w:tc>
          <w:tcPr>
            <w:tcW w:w="1376" w:type="dxa"/>
          </w:tcPr>
          <w:p w:rsidR="00197BE3" w:rsidRDefault="00197BE3" w:rsidP="00197BE3">
            <w:pPr>
              <w:jc w:val="center"/>
            </w:pPr>
            <w:r>
              <w:t>2829</w:t>
            </w:r>
          </w:p>
        </w:tc>
        <w:tc>
          <w:tcPr>
            <w:tcW w:w="1414" w:type="dxa"/>
          </w:tcPr>
          <w:p w:rsidR="00197BE3" w:rsidRDefault="00197BE3" w:rsidP="00197BE3">
            <w:pPr>
              <w:jc w:val="center"/>
            </w:pPr>
            <w:r>
              <w:t>4.04</w:t>
            </w:r>
          </w:p>
        </w:tc>
        <w:tc>
          <w:tcPr>
            <w:tcW w:w="1440" w:type="dxa"/>
          </w:tcPr>
          <w:p w:rsidR="00197BE3" w:rsidRDefault="00197BE3" w:rsidP="00197BE3">
            <w:pPr>
              <w:jc w:val="center"/>
            </w:pPr>
            <w:r>
              <w:t>0.96</w:t>
            </w:r>
          </w:p>
        </w:tc>
      </w:tr>
      <w:tr w:rsidR="00197BE3" w:rsidTr="00197BE3">
        <w:tc>
          <w:tcPr>
            <w:tcW w:w="5328" w:type="dxa"/>
          </w:tcPr>
          <w:p w:rsidR="00197BE3" w:rsidRDefault="00197BE3" w:rsidP="00D50DF6">
            <w:r>
              <w:t>I enjoy science</w:t>
            </w:r>
          </w:p>
        </w:tc>
        <w:tc>
          <w:tcPr>
            <w:tcW w:w="1376" w:type="dxa"/>
          </w:tcPr>
          <w:p w:rsidR="00197BE3" w:rsidRDefault="00197BE3" w:rsidP="00197BE3">
            <w:pPr>
              <w:jc w:val="center"/>
            </w:pPr>
            <w:r>
              <w:t>2857</w:t>
            </w:r>
          </w:p>
        </w:tc>
        <w:tc>
          <w:tcPr>
            <w:tcW w:w="1414" w:type="dxa"/>
          </w:tcPr>
          <w:p w:rsidR="00197BE3" w:rsidRDefault="00197BE3" w:rsidP="00197BE3">
            <w:pPr>
              <w:jc w:val="center"/>
            </w:pPr>
            <w:r>
              <w:t>3.55</w:t>
            </w:r>
          </w:p>
        </w:tc>
        <w:tc>
          <w:tcPr>
            <w:tcW w:w="1440" w:type="dxa"/>
          </w:tcPr>
          <w:p w:rsidR="00197BE3" w:rsidRDefault="00197BE3" w:rsidP="00197BE3">
            <w:pPr>
              <w:jc w:val="center"/>
            </w:pPr>
            <w:r>
              <w:t>1.25</w:t>
            </w:r>
          </w:p>
        </w:tc>
      </w:tr>
      <w:tr w:rsidR="00197BE3" w:rsidTr="00197BE3">
        <w:tc>
          <w:tcPr>
            <w:tcW w:w="5328" w:type="dxa"/>
          </w:tcPr>
          <w:p w:rsidR="00197BE3" w:rsidRDefault="00197BE3" w:rsidP="00D50DF6">
            <w:r>
              <w:t>Science is useful in everyday problems</w:t>
            </w:r>
          </w:p>
        </w:tc>
        <w:tc>
          <w:tcPr>
            <w:tcW w:w="1376" w:type="dxa"/>
          </w:tcPr>
          <w:p w:rsidR="00197BE3" w:rsidRDefault="00197BE3" w:rsidP="00197BE3">
            <w:pPr>
              <w:jc w:val="center"/>
            </w:pPr>
            <w:r>
              <w:t>2804</w:t>
            </w:r>
          </w:p>
        </w:tc>
        <w:tc>
          <w:tcPr>
            <w:tcW w:w="1414" w:type="dxa"/>
          </w:tcPr>
          <w:p w:rsidR="00197BE3" w:rsidRDefault="00197BE3" w:rsidP="00197BE3">
            <w:pPr>
              <w:jc w:val="center"/>
            </w:pPr>
            <w:r>
              <w:t>3.26</w:t>
            </w:r>
          </w:p>
        </w:tc>
        <w:tc>
          <w:tcPr>
            <w:tcW w:w="1440" w:type="dxa"/>
          </w:tcPr>
          <w:p w:rsidR="00197BE3" w:rsidRDefault="00197BE3" w:rsidP="00197BE3">
            <w:pPr>
              <w:jc w:val="center"/>
            </w:pPr>
            <w:r>
              <w:t>1.09</w:t>
            </w:r>
          </w:p>
        </w:tc>
      </w:tr>
      <w:tr w:rsidR="00197BE3" w:rsidTr="00197BE3">
        <w:tc>
          <w:tcPr>
            <w:tcW w:w="5328" w:type="dxa"/>
          </w:tcPr>
          <w:p w:rsidR="00197BE3" w:rsidRDefault="00197BE3" w:rsidP="00D50DF6">
            <w:r>
              <w:t>Science helps a person think logically</w:t>
            </w:r>
          </w:p>
        </w:tc>
        <w:tc>
          <w:tcPr>
            <w:tcW w:w="1376" w:type="dxa"/>
          </w:tcPr>
          <w:p w:rsidR="00197BE3" w:rsidRDefault="00197BE3" w:rsidP="00197BE3">
            <w:pPr>
              <w:jc w:val="center"/>
            </w:pPr>
            <w:r>
              <w:t>2809</w:t>
            </w:r>
          </w:p>
        </w:tc>
        <w:tc>
          <w:tcPr>
            <w:tcW w:w="1414" w:type="dxa"/>
          </w:tcPr>
          <w:p w:rsidR="00197BE3" w:rsidRDefault="00197BE3" w:rsidP="00197BE3">
            <w:pPr>
              <w:jc w:val="center"/>
            </w:pPr>
            <w:r>
              <w:t>3.47</w:t>
            </w:r>
          </w:p>
        </w:tc>
        <w:tc>
          <w:tcPr>
            <w:tcW w:w="1440" w:type="dxa"/>
          </w:tcPr>
          <w:p w:rsidR="00197BE3" w:rsidRDefault="00197BE3" w:rsidP="00197BE3">
            <w:pPr>
              <w:jc w:val="center"/>
            </w:pPr>
            <w:r>
              <w:t>1.04</w:t>
            </w:r>
          </w:p>
        </w:tc>
      </w:tr>
      <w:tr w:rsidR="00197BE3" w:rsidTr="00197BE3">
        <w:tc>
          <w:tcPr>
            <w:tcW w:w="5328" w:type="dxa"/>
          </w:tcPr>
          <w:p w:rsidR="00197BE3" w:rsidRDefault="00197BE3" w:rsidP="00D50DF6">
            <w:r>
              <w:t>It is important to know science to get a good job</w:t>
            </w:r>
          </w:p>
        </w:tc>
        <w:tc>
          <w:tcPr>
            <w:tcW w:w="1376" w:type="dxa"/>
          </w:tcPr>
          <w:p w:rsidR="00197BE3" w:rsidRDefault="00197BE3" w:rsidP="00197BE3">
            <w:pPr>
              <w:jc w:val="center"/>
            </w:pPr>
            <w:r>
              <w:t>2828</w:t>
            </w:r>
          </w:p>
        </w:tc>
        <w:tc>
          <w:tcPr>
            <w:tcW w:w="1414" w:type="dxa"/>
          </w:tcPr>
          <w:p w:rsidR="00197BE3" w:rsidRDefault="00197BE3" w:rsidP="00197BE3">
            <w:pPr>
              <w:jc w:val="center"/>
            </w:pPr>
            <w:r>
              <w:t>3.28</w:t>
            </w:r>
          </w:p>
        </w:tc>
        <w:tc>
          <w:tcPr>
            <w:tcW w:w="1440" w:type="dxa"/>
          </w:tcPr>
          <w:p w:rsidR="00197BE3" w:rsidRDefault="00197BE3" w:rsidP="00197BE3">
            <w:pPr>
              <w:jc w:val="center"/>
            </w:pPr>
            <w:r>
              <w:t>1.09</w:t>
            </w:r>
          </w:p>
        </w:tc>
      </w:tr>
      <w:tr w:rsidR="00197BE3" w:rsidTr="00197BE3">
        <w:tc>
          <w:tcPr>
            <w:tcW w:w="5328" w:type="dxa"/>
            <w:tcBorders>
              <w:bottom w:val="single" w:sz="4" w:space="0" w:color="auto"/>
            </w:tcBorders>
          </w:tcPr>
          <w:p w:rsidR="00197BE3" w:rsidRDefault="00197BE3" w:rsidP="00D50DF6">
            <w:r>
              <w:t>I will use science in many ways as an adult</w:t>
            </w:r>
          </w:p>
        </w:tc>
        <w:tc>
          <w:tcPr>
            <w:tcW w:w="1376" w:type="dxa"/>
            <w:tcBorders>
              <w:bottom w:val="single" w:sz="4" w:space="0" w:color="auto"/>
            </w:tcBorders>
          </w:tcPr>
          <w:p w:rsidR="00197BE3" w:rsidRDefault="00197BE3" w:rsidP="00197BE3">
            <w:pPr>
              <w:jc w:val="center"/>
            </w:pPr>
            <w:r>
              <w:t>2859</w:t>
            </w:r>
          </w:p>
        </w:tc>
        <w:tc>
          <w:tcPr>
            <w:tcW w:w="1414" w:type="dxa"/>
            <w:tcBorders>
              <w:bottom w:val="single" w:sz="4" w:space="0" w:color="auto"/>
            </w:tcBorders>
          </w:tcPr>
          <w:p w:rsidR="00197BE3" w:rsidRDefault="00197BE3" w:rsidP="00197BE3">
            <w:pPr>
              <w:jc w:val="center"/>
            </w:pPr>
            <w:r>
              <w:t>3.42</w:t>
            </w:r>
          </w:p>
        </w:tc>
        <w:tc>
          <w:tcPr>
            <w:tcW w:w="1440" w:type="dxa"/>
            <w:tcBorders>
              <w:bottom w:val="single" w:sz="4" w:space="0" w:color="auto"/>
            </w:tcBorders>
          </w:tcPr>
          <w:p w:rsidR="00197BE3" w:rsidRDefault="00197BE3" w:rsidP="00197BE3">
            <w:pPr>
              <w:jc w:val="center"/>
            </w:pPr>
            <w:r>
              <w:t>1.13</w:t>
            </w:r>
          </w:p>
        </w:tc>
      </w:tr>
    </w:tbl>
    <w:p w:rsidR="00197BE3" w:rsidRDefault="00197BE3" w:rsidP="00D50DF6"/>
    <w:p w:rsidR="00D50DF6" w:rsidRDefault="00D50DF6">
      <w:r>
        <w:br w:type="page"/>
      </w:r>
    </w:p>
    <w:p w:rsidR="00D50DF6" w:rsidRDefault="00D50DF6" w:rsidP="00D50DF6">
      <w:r>
        <w:lastRenderedPageBreak/>
        <w:t>Table 2</w:t>
      </w:r>
    </w:p>
    <w:p w:rsidR="00D50DF6" w:rsidRDefault="00D50DF6" w:rsidP="00D50DF6"/>
    <w:p w:rsidR="00E51721" w:rsidRDefault="00E51721" w:rsidP="00E51721">
      <w:pPr>
        <w:rPr>
          <w:i/>
        </w:rPr>
      </w:pPr>
      <w:r w:rsidRPr="00DE7A74">
        <w:rPr>
          <w:i/>
        </w:rPr>
        <w:t xml:space="preserve">Summary of </w:t>
      </w:r>
      <w:r>
        <w:rPr>
          <w:i/>
        </w:rPr>
        <w:t xml:space="preserve">Latent Class Analysis </w:t>
      </w:r>
      <w:r w:rsidRPr="00DE7A74">
        <w:rPr>
          <w:i/>
        </w:rPr>
        <w:t>Fit Indices</w:t>
      </w:r>
      <w:r>
        <w:rPr>
          <w:i/>
        </w:rPr>
        <w:t xml:space="preserve"> with 1-6 Latent Classes</w:t>
      </w:r>
    </w:p>
    <w:p w:rsidR="001755D6" w:rsidRDefault="001755D6" w:rsidP="00D50DF6"/>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7"/>
        <w:gridCol w:w="1611"/>
        <w:gridCol w:w="1414"/>
        <w:gridCol w:w="836"/>
        <w:gridCol w:w="810"/>
        <w:gridCol w:w="900"/>
        <w:gridCol w:w="825"/>
        <w:gridCol w:w="885"/>
        <w:gridCol w:w="990"/>
      </w:tblGrid>
      <w:tr w:rsidR="00E51721" w:rsidRPr="00E60845" w:rsidTr="00E51721">
        <w:tc>
          <w:tcPr>
            <w:tcW w:w="1287" w:type="dxa"/>
            <w:tcBorders>
              <w:top w:val="single" w:sz="4" w:space="0" w:color="auto"/>
              <w:bottom w:val="single" w:sz="4" w:space="0" w:color="auto"/>
            </w:tcBorders>
          </w:tcPr>
          <w:p w:rsidR="00E51721" w:rsidRPr="00E60845" w:rsidRDefault="00E51721" w:rsidP="000503FA">
            <w:pPr>
              <w:jc w:val="center"/>
              <w:rPr>
                <w:rFonts w:cs="Times New Roman"/>
                <w:i/>
                <w:szCs w:val="24"/>
              </w:rPr>
            </w:pPr>
            <w:r w:rsidRPr="00E60845">
              <w:rPr>
                <w:rFonts w:cs="Times New Roman"/>
                <w:i/>
                <w:szCs w:val="24"/>
              </w:rPr>
              <w:t>Number of classes</w:t>
            </w:r>
          </w:p>
        </w:tc>
        <w:tc>
          <w:tcPr>
            <w:tcW w:w="1611" w:type="dxa"/>
            <w:tcBorders>
              <w:top w:val="single" w:sz="4" w:space="0" w:color="auto"/>
              <w:bottom w:val="single" w:sz="4" w:space="0" w:color="auto"/>
            </w:tcBorders>
          </w:tcPr>
          <w:p w:rsidR="00E51721" w:rsidRPr="00E51721" w:rsidRDefault="00E51721" w:rsidP="00E51721">
            <w:pPr>
              <w:rPr>
                <w:rFonts w:cs="Times New Roman"/>
                <w:i/>
                <w:szCs w:val="24"/>
              </w:rPr>
            </w:pPr>
            <w:proofErr w:type="spellStart"/>
            <w:r w:rsidRPr="00E60845">
              <w:rPr>
                <w:rFonts w:cs="Times New Roman"/>
                <w:i/>
                <w:szCs w:val="24"/>
              </w:rPr>
              <w:t>L</w:t>
            </w:r>
            <w:r>
              <w:rPr>
                <w:rFonts w:cs="Times New Roman"/>
                <w:i/>
                <w:szCs w:val="24"/>
              </w:rPr>
              <w:t>oglikelihood</w:t>
            </w:r>
            <w:proofErr w:type="spellEnd"/>
          </w:p>
        </w:tc>
        <w:tc>
          <w:tcPr>
            <w:tcW w:w="1414" w:type="dxa"/>
            <w:tcBorders>
              <w:top w:val="single" w:sz="4" w:space="0" w:color="auto"/>
              <w:bottom w:val="single" w:sz="4" w:space="0" w:color="auto"/>
            </w:tcBorders>
          </w:tcPr>
          <w:p w:rsidR="00E51721" w:rsidRPr="00E60845" w:rsidRDefault="00E51721" w:rsidP="000503FA">
            <w:pPr>
              <w:jc w:val="center"/>
              <w:rPr>
                <w:rFonts w:cs="Times New Roman"/>
                <w:i/>
                <w:szCs w:val="24"/>
              </w:rPr>
            </w:pPr>
            <w:r w:rsidRPr="00E60845">
              <w:rPr>
                <w:rFonts w:cs="Times New Roman"/>
                <w:i/>
                <w:szCs w:val="24"/>
              </w:rPr>
              <w:t>Number of parameters</w:t>
            </w:r>
          </w:p>
        </w:tc>
        <w:tc>
          <w:tcPr>
            <w:tcW w:w="836" w:type="dxa"/>
            <w:tcBorders>
              <w:top w:val="single" w:sz="4" w:space="0" w:color="auto"/>
              <w:bottom w:val="single" w:sz="4" w:space="0" w:color="auto"/>
            </w:tcBorders>
          </w:tcPr>
          <w:p w:rsidR="00E51721" w:rsidRPr="00E60845" w:rsidRDefault="00E51721" w:rsidP="000503FA">
            <w:pPr>
              <w:jc w:val="center"/>
              <w:rPr>
                <w:rFonts w:cs="Times New Roman"/>
                <w:i/>
                <w:szCs w:val="24"/>
              </w:rPr>
            </w:pPr>
            <w:r w:rsidRPr="00E60845">
              <w:rPr>
                <w:rFonts w:cs="Times New Roman"/>
                <w:i/>
                <w:szCs w:val="24"/>
              </w:rPr>
              <w:t>BIC</w:t>
            </w:r>
          </w:p>
        </w:tc>
        <w:tc>
          <w:tcPr>
            <w:tcW w:w="810" w:type="dxa"/>
            <w:tcBorders>
              <w:top w:val="single" w:sz="4" w:space="0" w:color="auto"/>
              <w:bottom w:val="single" w:sz="4" w:space="0" w:color="auto"/>
            </w:tcBorders>
          </w:tcPr>
          <w:p w:rsidR="00E51721" w:rsidRPr="00E60845" w:rsidRDefault="00E51721" w:rsidP="000503FA">
            <w:pPr>
              <w:jc w:val="center"/>
              <w:rPr>
                <w:rFonts w:cs="Times New Roman"/>
                <w:i/>
                <w:szCs w:val="24"/>
              </w:rPr>
            </w:pPr>
            <w:r w:rsidRPr="00E60845">
              <w:rPr>
                <w:rFonts w:cs="Times New Roman"/>
                <w:i/>
                <w:szCs w:val="24"/>
              </w:rPr>
              <w:t>ABIC</w:t>
            </w:r>
          </w:p>
        </w:tc>
        <w:tc>
          <w:tcPr>
            <w:tcW w:w="900" w:type="dxa"/>
            <w:tcBorders>
              <w:top w:val="single" w:sz="4" w:space="0" w:color="auto"/>
              <w:bottom w:val="single" w:sz="4" w:space="0" w:color="auto"/>
            </w:tcBorders>
          </w:tcPr>
          <w:p w:rsidR="00E51721" w:rsidRPr="00E60845" w:rsidRDefault="00E51721" w:rsidP="000503FA">
            <w:pPr>
              <w:jc w:val="center"/>
              <w:rPr>
                <w:rFonts w:cs="Times New Roman"/>
                <w:i/>
                <w:szCs w:val="24"/>
              </w:rPr>
            </w:pPr>
            <w:r w:rsidRPr="00E60845">
              <w:rPr>
                <w:rFonts w:cs="Times New Roman"/>
                <w:i/>
                <w:szCs w:val="24"/>
              </w:rPr>
              <w:t>VLMR</w:t>
            </w:r>
          </w:p>
        </w:tc>
        <w:tc>
          <w:tcPr>
            <w:tcW w:w="825" w:type="dxa"/>
            <w:tcBorders>
              <w:top w:val="single" w:sz="4" w:space="0" w:color="auto"/>
              <w:bottom w:val="single" w:sz="4" w:space="0" w:color="auto"/>
            </w:tcBorders>
          </w:tcPr>
          <w:p w:rsidR="00E51721" w:rsidRPr="00E60845" w:rsidDel="00477934" w:rsidRDefault="00E51721" w:rsidP="000503FA">
            <w:pPr>
              <w:jc w:val="center"/>
              <w:rPr>
                <w:rFonts w:cs="Times New Roman"/>
                <w:i/>
                <w:szCs w:val="24"/>
              </w:rPr>
            </w:pPr>
            <w:r w:rsidRPr="00E60845">
              <w:rPr>
                <w:rFonts w:cs="Times New Roman"/>
                <w:i/>
                <w:szCs w:val="24"/>
              </w:rPr>
              <w:t>BLRT</w:t>
            </w:r>
          </w:p>
        </w:tc>
        <w:tc>
          <w:tcPr>
            <w:tcW w:w="885" w:type="dxa"/>
            <w:tcBorders>
              <w:top w:val="single" w:sz="4" w:space="0" w:color="auto"/>
              <w:bottom w:val="single" w:sz="4" w:space="0" w:color="auto"/>
            </w:tcBorders>
          </w:tcPr>
          <w:p w:rsidR="00E51721" w:rsidRPr="00E60845" w:rsidDel="00477934" w:rsidRDefault="00E51721" w:rsidP="000503FA">
            <w:pPr>
              <w:jc w:val="center"/>
              <w:rPr>
                <w:rFonts w:cs="Times New Roman"/>
                <w:i/>
                <w:szCs w:val="24"/>
              </w:rPr>
            </w:pPr>
            <w:r w:rsidRPr="00E60845">
              <w:rPr>
                <w:rFonts w:cs="Times New Roman"/>
                <w:i/>
                <w:szCs w:val="24"/>
              </w:rPr>
              <w:t>BF</w:t>
            </w:r>
          </w:p>
        </w:tc>
        <w:tc>
          <w:tcPr>
            <w:tcW w:w="990" w:type="dxa"/>
            <w:tcBorders>
              <w:top w:val="single" w:sz="4" w:space="0" w:color="auto"/>
              <w:bottom w:val="single" w:sz="4" w:space="0" w:color="auto"/>
            </w:tcBorders>
          </w:tcPr>
          <w:p w:rsidR="00E51721" w:rsidRPr="00E60845" w:rsidRDefault="00E51721" w:rsidP="000503FA">
            <w:pPr>
              <w:jc w:val="center"/>
              <w:rPr>
                <w:rFonts w:cs="Times New Roman"/>
                <w:i/>
                <w:szCs w:val="24"/>
              </w:rPr>
            </w:pPr>
            <w:proofErr w:type="spellStart"/>
            <w:r w:rsidRPr="00E60845">
              <w:rPr>
                <w:rFonts w:cs="Times New Roman"/>
                <w:i/>
                <w:szCs w:val="24"/>
              </w:rPr>
              <w:t>cmP</w:t>
            </w:r>
            <w:proofErr w:type="spellEnd"/>
          </w:p>
        </w:tc>
      </w:tr>
      <w:tr w:rsidR="00E51721" w:rsidTr="00E51721">
        <w:tc>
          <w:tcPr>
            <w:tcW w:w="1287" w:type="dxa"/>
            <w:tcBorders>
              <w:top w:val="single" w:sz="4" w:space="0" w:color="auto"/>
            </w:tcBorders>
          </w:tcPr>
          <w:p w:rsidR="00E51721" w:rsidRPr="00E60845" w:rsidRDefault="00E51721" w:rsidP="000503FA">
            <w:pPr>
              <w:jc w:val="center"/>
              <w:rPr>
                <w:rFonts w:cs="Times New Roman"/>
                <w:szCs w:val="24"/>
              </w:rPr>
            </w:pPr>
            <w:r w:rsidRPr="00E60845">
              <w:rPr>
                <w:rFonts w:cs="Times New Roman"/>
                <w:szCs w:val="24"/>
              </w:rPr>
              <w:t>1</w:t>
            </w:r>
          </w:p>
        </w:tc>
        <w:tc>
          <w:tcPr>
            <w:tcW w:w="1611" w:type="dxa"/>
            <w:tcBorders>
              <w:top w:val="single" w:sz="4" w:space="0" w:color="auto"/>
            </w:tcBorders>
          </w:tcPr>
          <w:p w:rsidR="00E51721" w:rsidRDefault="00E51721" w:rsidP="000503FA">
            <w:pPr>
              <w:tabs>
                <w:tab w:val="decimal" w:pos="717"/>
              </w:tabs>
              <w:rPr>
                <w:color w:val="000000"/>
                <w:szCs w:val="24"/>
              </w:rPr>
            </w:pPr>
          </w:p>
        </w:tc>
        <w:tc>
          <w:tcPr>
            <w:tcW w:w="1414" w:type="dxa"/>
            <w:tcBorders>
              <w:top w:val="single" w:sz="4" w:space="0" w:color="auto"/>
            </w:tcBorders>
          </w:tcPr>
          <w:p w:rsidR="00E51721" w:rsidRDefault="00E51721" w:rsidP="000503FA">
            <w:pPr>
              <w:jc w:val="center"/>
              <w:rPr>
                <w:color w:val="000000"/>
                <w:szCs w:val="24"/>
              </w:rPr>
            </w:pPr>
          </w:p>
        </w:tc>
        <w:tc>
          <w:tcPr>
            <w:tcW w:w="836" w:type="dxa"/>
            <w:tcBorders>
              <w:top w:val="single" w:sz="4" w:space="0" w:color="auto"/>
            </w:tcBorders>
          </w:tcPr>
          <w:p w:rsidR="00E51721" w:rsidRDefault="00E51721" w:rsidP="000503FA">
            <w:pPr>
              <w:jc w:val="center"/>
              <w:rPr>
                <w:color w:val="000000"/>
                <w:szCs w:val="24"/>
              </w:rPr>
            </w:pPr>
          </w:p>
        </w:tc>
        <w:tc>
          <w:tcPr>
            <w:tcW w:w="810" w:type="dxa"/>
            <w:tcBorders>
              <w:top w:val="single" w:sz="4" w:space="0" w:color="auto"/>
            </w:tcBorders>
          </w:tcPr>
          <w:p w:rsidR="00E51721" w:rsidRDefault="00E51721" w:rsidP="000503FA">
            <w:pPr>
              <w:jc w:val="center"/>
              <w:rPr>
                <w:color w:val="000000"/>
                <w:szCs w:val="24"/>
              </w:rPr>
            </w:pPr>
          </w:p>
        </w:tc>
        <w:tc>
          <w:tcPr>
            <w:tcW w:w="900" w:type="dxa"/>
            <w:tcBorders>
              <w:top w:val="single" w:sz="4" w:space="0" w:color="auto"/>
            </w:tcBorders>
          </w:tcPr>
          <w:p w:rsidR="00E51721" w:rsidRDefault="00E51721" w:rsidP="000503FA">
            <w:pPr>
              <w:jc w:val="center"/>
              <w:rPr>
                <w:color w:val="000000"/>
                <w:szCs w:val="24"/>
              </w:rPr>
            </w:pPr>
          </w:p>
        </w:tc>
        <w:tc>
          <w:tcPr>
            <w:tcW w:w="825" w:type="dxa"/>
            <w:tcBorders>
              <w:top w:val="single" w:sz="4" w:space="0" w:color="auto"/>
            </w:tcBorders>
          </w:tcPr>
          <w:p w:rsidR="00E51721" w:rsidRDefault="00E51721" w:rsidP="000503FA">
            <w:pPr>
              <w:jc w:val="center"/>
              <w:rPr>
                <w:color w:val="000000"/>
                <w:szCs w:val="24"/>
              </w:rPr>
            </w:pPr>
          </w:p>
        </w:tc>
        <w:tc>
          <w:tcPr>
            <w:tcW w:w="885" w:type="dxa"/>
            <w:tcBorders>
              <w:top w:val="single" w:sz="4" w:space="0" w:color="auto"/>
            </w:tcBorders>
          </w:tcPr>
          <w:p w:rsidR="00E51721" w:rsidRPr="00E60845" w:rsidRDefault="00E51721" w:rsidP="000503FA">
            <w:pPr>
              <w:tabs>
                <w:tab w:val="decimal" w:pos="1186"/>
              </w:tabs>
              <w:rPr>
                <w:rFonts w:cs="Times New Roman"/>
                <w:color w:val="000000"/>
                <w:szCs w:val="24"/>
              </w:rPr>
            </w:pPr>
          </w:p>
        </w:tc>
        <w:tc>
          <w:tcPr>
            <w:tcW w:w="990" w:type="dxa"/>
            <w:tcBorders>
              <w:top w:val="single" w:sz="4" w:space="0" w:color="auto"/>
            </w:tcBorders>
          </w:tcPr>
          <w:p w:rsidR="00E51721" w:rsidRDefault="00E51721" w:rsidP="000503FA">
            <w:pPr>
              <w:jc w:val="center"/>
              <w:rPr>
                <w:color w:val="000000"/>
                <w:szCs w:val="24"/>
              </w:rPr>
            </w:pPr>
            <w:r>
              <w:rPr>
                <w:color w:val="000000"/>
              </w:rPr>
              <w:t>- - -</w:t>
            </w:r>
          </w:p>
        </w:tc>
      </w:tr>
      <w:tr w:rsidR="00E51721" w:rsidRPr="00E60845" w:rsidTr="00E51721">
        <w:tc>
          <w:tcPr>
            <w:tcW w:w="1287" w:type="dxa"/>
          </w:tcPr>
          <w:p w:rsidR="00E51721" w:rsidRPr="00E60845" w:rsidRDefault="00E51721" w:rsidP="000503FA">
            <w:pPr>
              <w:jc w:val="center"/>
              <w:rPr>
                <w:rFonts w:cs="Times New Roman"/>
                <w:szCs w:val="24"/>
              </w:rPr>
            </w:pPr>
            <w:r w:rsidRPr="00E60845">
              <w:rPr>
                <w:rFonts w:cs="Times New Roman"/>
                <w:szCs w:val="24"/>
              </w:rPr>
              <w:t>2</w:t>
            </w:r>
          </w:p>
        </w:tc>
        <w:tc>
          <w:tcPr>
            <w:tcW w:w="1611" w:type="dxa"/>
          </w:tcPr>
          <w:p w:rsidR="00E51721" w:rsidRDefault="00E51721" w:rsidP="000503FA">
            <w:pPr>
              <w:tabs>
                <w:tab w:val="decimal" w:pos="717"/>
              </w:tabs>
              <w:rPr>
                <w:color w:val="000000"/>
                <w:szCs w:val="24"/>
              </w:rPr>
            </w:pPr>
          </w:p>
        </w:tc>
        <w:tc>
          <w:tcPr>
            <w:tcW w:w="1414" w:type="dxa"/>
          </w:tcPr>
          <w:p w:rsidR="00E51721" w:rsidRDefault="00E51721" w:rsidP="000503FA">
            <w:pPr>
              <w:jc w:val="center"/>
              <w:rPr>
                <w:color w:val="000000"/>
                <w:szCs w:val="24"/>
              </w:rPr>
            </w:pPr>
          </w:p>
        </w:tc>
        <w:tc>
          <w:tcPr>
            <w:tcW w:w="836" w:type="dxa"/>
          </w:tcPr>
          <w:p w:rsidR="00E51721" w:rsidRDefault="00E51721" w:rsidP="000503FA">
            <w:pPr>
              <w:jc w:val="center"/>
              <w:rPr>
                <w:color w:val="000000"/>
                <w:szCs w:val="24"/>
              </w:rPr>
            </w:pPr>
          </w:p>
        </w:tc>
        <w:tc>
          <w:tcPr>
            <w:tcW w:w="810" w:type="dxa"/>
          </w:tcPr>
          <w:p w:rsidR="00E51721" w:rsidRDefault="00E51721" w:rsidP="000503FA">
            <w:pPr>
              <w:jc w:val="center"/>
              <w:rPr>
                <w:color w:val="000000"/>
                <w:szCs w:val="24"/>
              </w:rPr>
            </w:pPr>
          </w:p>
        </w:tc>
        <w:tc>
          <w:tcPr>
            <w:tcW w:w="900" w:type="dxa"/>
          </w:tcPr>
          <w:p w:rsidR="00E51721" w:rsidRPr="00E60845" w:rsidRDefault="00E51721" w:rsidP="000503FA">
            <w:pPr>
              <w:jc w:val="center"/>
              <w:rPr>
                <w:rFonts w:cs="Times New Roman"/>
                <w:color w:val="000000"/>
                <w:szCs w:val="24"/>
              </w:rPr>
            </w:pPr>
          </w:p>
        </w:tc>
        <w:tc>
          <w:tcPr>
            <w:tcW w:w="825" w:type="dxa"/>
          </w:tcPr>
          <w:p w:rsidR="00E51721" w:rsidRPr="00E60845" w:rsidRDefault="00E51721" w:rsidP="000503FA">
            <w:pPr>
              <w:jc w:val="center"/>
              <w:rPr>
                <w:rFonts w:cs="Times New Roman"/>
                <w:color w:val="000000"/>
                <w:szCs w:val="24"/>
              </w:rPr>
            </w:pPr>
          </w:p>
        </w:tc>
        <w:tc>
          <w:tcPr>
            <w:tcW w:w="885" w:type="dxa"/>
          </w:tcPr>
          <w:p w:rsidR="00E51721" w:rsidRPr="00E60845" w:rsidRDefault="00E51721" w:rsidP="000503FA">
            <w:pPr>
              <w:tabs>
                <w:tab w:val="decimal" w:pos="1186"/>
              </w:tabs>
              <w:rPr>
                <w:rFonts w:cs="Times New Roman"/>
                <w:color w:val="000000"/>
                <w:szCs w:val="24"/>
              </w:rPr>
            </w:pPr>
          </w:p>
        </w:tc>
        <w:tc>
          <w:tcPr>
            <w:tcW w:w="990" w:type="dxa"/>
          </w:tcPr>
          <w:p w:rsidR="00E51721" w:rsidRPr="00E60845" w:rsidRDefault="00E51721" w:rsidP="000503FA">
            <w:pPr>
              <w:jc w:val="center"/>
              <w:rPr>
                <w:rFonts w:cs="Times New Roman"/>
                <w:color w:val="000000"/>
                <w:szCs w:val="24"/>
              </w:rPr>
            </w:pPr>
          </w:p>
        </w:tc>
      </w:tr>
      <w:tr w:rsidR="00E51721" w:rsidRPr="00E60845" w:rsidTr="00E51721">
        <w:tc>
          <w:tcPr>
            <w:tcW w:w="1287" w:type="dxa"/>
          </w:tcPr>
          <w:p w:rsidR="00E51721" w:rsidRPr="00E60845" w:rsidRDefault="00E51721" w:rsidP="000503FA">
            <w:pPr>
              <w:jc w:val="center"/>
              <w:rPr>
                <w:rFonts w:cs="Times New Roman"/>
                <w:szCs w:val="24"/>
              </w:rPr>
            </w:pPr>
            <w:r w:rsidRPr="00E60845">
              <w:rPr>
                <w:rFonts w:cs="Times New Roman"/>
                <w:szCs w:val="24"/>
              </w:rPr>
              <w:t>3</w:t>
            </w:r>
          </w:p>
        </w:tc>
        <w:tc>
          <w:tcPr>
            <w:tcW w:w="1611" w:type="dxa"/>
          </w:tcPr>
          <w:p w:rsidR="00E51721" w:rsidRDefault="00E51721" w:rsidP="000503FA">
            <w:pPr>
              <w:tabs>
                <w:tab w:val="decimal" w:pos="717"/>
              </w:tabs>
              <w:rPr>
                <w:color w:val="000000"/>
                <w:szCs w:val="24"/>
              </w:rPr>
            </w:pPr>
          </w:p>
        </w:tc>
        <w:tc>
          <w:tcPr>
            <w:tcW w:w="1414" w:type="dxa"/>
          </w:tcPr>
          <w:p w:rsidR="00E51721" w:rsidRDefault="00E51721" w:rsidP="000503FA">
            <w:pPr>
              <w:jc w:val="center"/>
              <w:rPr>
                <w:color w:val="000000"/>
                <w:szCs w:val="24"/>
              </w:rPr>
            </w:pPr>
          </w:p>
        </w:tc>
        <w:tc>
          <w:tcPr>
            <w:tcW w:w="836" w:type="dxa"/>
          </w:tcPr>
          <w:p w:rsidR="00E51721" w:rsidRDefault="00E51721" w:rsidP="000503FA">
            <w:pPr>
              <w:jc w:val="center"/>
              <w:rPr>
                <w:color w:val="000000"/>
                <w:szCs w:val="24"/>
              </w:rPr>
            </w:pPr>
          </w:p>
        </w:tc>
        <w:tc>
          <w:tcPr>
            <w:tcW w:w="810" w:type="dxa"/>
          </w:tcPr>
          <w:p w:rsidR="00E51721" w:rsidRDefault="00E51721" w:rsidP="000503FA">
            <w:pPr>
              <w:jc w:val="center"/>
              <w:rPr>
                <w:color w:val="000000"/>
                <w:szCs w:val="24"/>
              </w:rPr>
            </w:pPr>
          </w:p>
        </w:tc>
        <w:tc>
          <w:tcPr>
            <w:tcW w:w="900" w:type="dxa"/>
          </w:tcPr>
          <w:p w:rsidR="00E51721" w:rsidRPr="00E60845" w:rsidRDefault="00E51721" w:rsidP="000503FA">
            <w:pPr>
              <w:jc w:val="center"/>
              <w:rPr>
                <w:rFonts w:cs="Times New Roman"/>
                <w:color w:val="000000"/>
                <w:szCs w:val="24"/>
              </w:rPr>
            </w:pPr>
          </w:p>
        </w:tc>
        <w:tc>
          <w:tcPr>
            <w:tcW w:w="825" w:type="dxa"/>
          </w:tcPr>
          <w:p w:rsidR="00E51721" w:rsidRPr="00E60845" w:rsidRDefault="00E51721" w:rsidP="000503FA">
            <w:pPr>
              <w:jc w:val="center"/>
              <w:rPr>
                <w:rFonts w:cs="Times New Roman"/>
                <w:color w:val="000000"/>
                <w:szCs w:val="24"/>
              </w:rPr>
            </w:pPr>
          </w:p>
        </w:tc>
        <w:tc>
          <w:tcPr>
            <w:tcW w:w="885" w:type="dxa"/>
          </w:tcPr>
          <w:p w:rsidR="00E51721" w:rsidRPr="00E60845" w:rsidRDefault="00E51721" w:rsidP="000503FA">
            <w:pPr>
              <w:tabs>
                <w:tab w:val="decimal" w:pos="1186"/>
              </w:tabs>
              <w:rPr>
                <w:rFonts w:cs="Times New Roman"/>
                <w:color w:val="000000"/>
                <w:szCs w:val="24"/>
              </w:rPr>
            </w:pPr>
          </w:p>
        </w:tc>
        <w:tc>
          <w:tcPr>
            <w:tcW w:w="990" w:type="dxa"/>
          </w:tcPr>
          <w:p w:rsidR="00E51721" w:rsidRPr="00E60845" w:rsidRDefault="00E51721" w:rsidP="000503FA">
            <w:pPr>
              <w:jc w:val="center"/>
              <w:rPr>
                <w:rFonts w:cs="Times New Roman"/>
                <w:color w:val="000000"/>
                <w:szCs w:val="24"/>
              </w:rPr>
            </w:pPr>
          </w:p>
        </w:tc>
      </w:tr>
      <w:tr w:rsidR="00E51721" w:rsidTr="00E51721">
        <w:tc>
          <w:tcPr>
            <w:tcW w:w="1287" w:type="dxa"/>
          </w:tcPr>
          <w:p w:rsidR="00E51721" w:rsidRPr="00E60845" w:rsidRDefault="00E51721" w:rsidP="000503FA">
            <w:pPr>
              <w:jc w:val="center"/>
              <w:rPr>
                <w:rFonts w:cs="Times New Roman"/>
                <w:szCs w:val="24"/>
              </w:rPr>
            </w:pPr>
            <w:r w:rsidRPr="00E60845">
              <w:rPr>
                <w:rFonts w:cs="Times New Roman"/>
                <w:szCs w:val="24"/>
              </w:rPr>
              <w:t>4</w:t>
            </w:r>
          </w:p>
        </w:tc>
        <w:tc>
          <w:tcPr>
            <w:tcW w:w="1611" w:type="dxa"/>
          </w:tcPr>
          <w:p w:rsidR="00E51721" w:rsidRDefault="00E51721" w:rsidP="000503FA">
            <w:pPr>
              <w:tabs>
                <w:tab w:val="decimal" w:pos="717"/>
              </w:tabs>
              <w:rPr>
                <w:color w:val="000000"/>
                <w:szCs w:val="24"/>
              </w:rPr>
            </w:pPr>
          </w:p>
        </w:tc>
        <w:tc>
          <w:tcPr>
            <w:tcW w:w="1414" w:type="dxa"/>
          </w:tcPr>
          <w:p w:rsidR="00E51721" w:rsidRDefault="00E51721" w:rsidP="000503FA">
            <w:pPr>
              <w:jc w:val="center"/>
              <w:rPr>
                <w:color w:val="000000"/>
                <w:szCs w:val="24"/>
              </w:rPr>
            </w:pPr>
          </w:p>
        </w:tc>
        <w:tc>
          <w:tcPr>
            <w:tcW w:w="836" w:type="dxa"/>
          </w:tcPr>
          <w:p w:rsidR="00E51721" w:rsidRDefault="00E51721" w:rsidP="000503FA">
            <w:pPr>
              <w:jc w:val="center"/>
              <w:rPr>
                <w:color w:val="000000"/>
                <w:szCs w:val="24"/>
              </w:rPr>
            </w:pPr>
          </w:p>
        </w:tc>
        <w:tc>
          <w:tcPr>
            <w:tcW w:w="810" w:type="dxa"/>
          </w:tcPr>
          <w:p w:rsidR="00E51721" w:rsidRDefault="00E51721" w:rsidP="000503FA">
            <w:pPr>
              <w:jc w:val="center"/>
              <w:rPr>
                <w:color w:val="000000"/>
                <w:szCs w:val="24"/>
              </w:rPr>
            </w:pPr>
          </w:p>
        </w:tc>
        <w:tc>
          <w:tcPr>
            <w:tcW w:w="900" w:type="dxa"/>
          </w:tcPr>
          <w:p w:rsidR="00E51721" w:rsidRPr="00E60845" w:rsidRDefault="00E51721" w:rsidP="000503FA">
            <w:pPr>
              <w:jc w:val="center"/>
              <w:rPr>
                <w:rFonts w:cs="Times New Roman"/>
                <w:color w:val="000000"/>
                <w:szCs w:val="24"/>
              </w:rPr>
            </w:pPr>
          </w:p>
        </w:tc>
        <w:tc>
          <w:tcPr>
            <w:tcW w:w="825" w:type="dxa"/>
          </w:tcPr>
          <w:p w:rsidR="00E51721" w:rsidRPr="00E60845" w:rsidRDefault="00E51721" w:rsidP="000503FA">
            <w:pPr>
              <w:jc w:val="center"/>
              <w:rPr>
                <w:rFonts w:cs="Times New Roman"/>
                <w:color w:val="000000"/>
                <w:szCs w:val="24"/>
              </w:rPr>
            </w:pPr>
          </w:p>
        </w:tc>
        <w:tc>
          <w:tcPr>
            <w:tcW w:w="885" w:type="dxa"/>
          </w:tcPr>
          <w:p w:rsidR="00E51721" w:rsidRDefault="00E51721" w:rsidP="000503FA">
            <w:pPr>
              <w:tabs>
                <w:tab w:val="decimal" w:pos="1186"/>
              </w:tabs>
              <w:rPr>
                <w:color w:val="000000"/>
                <w:szCs w:val="24"/>
              </w:rPr>
            </w:pPr>
          </w:p>
        </w:tc>
        <w:tc>
          <w:tcPr>
            <w:tcW w:w="990" w:type="dxa"/>
          </w:tcPr>
          <w:p w:rsidR="00E51721" w:rsidRDefault="00E51721" w:rsidP="000503FA">
            <w:pPr>
              <w:jc w:val="center"/>
              <w:rPr>
                <w:color w:val="000000"/>
                <w:szCs w:val="24"/>
              </w:rPr>
            </w:pPr>
          </w:p>
        </w:tc>
      </w:tr>
      <w:tr w:rsidR="00E51721" w:rsidTr="00E51721">
        <w:tc>
          <w:tcPr>
            <w:tcW w:w="1287" w:type="dxa"/>
          </w:tcPr>
          <w:p w:rsidR="00E51721" w:rsidRPr="00E60845" w:rsidRDefault="00E51721" w:rsidP="000503FA">
            <w:pPr>
              <w:jc w:val="center"/>
              <w:rPr>
                <w:rFonts w:cs="Times New Roman"/>
                <w:szCs w:val="24"/>
              </w:rPr>
            </w:pPr>
            <w:r>
              <w:rPr>
                <w:rFonts w:cs="Times New Roman"/>
                <w:szCs w:val="24"/>
              </w:rPr>
              <w:t>5</w:t>
            </w:r>
          </w:p>
        </w:tc>
        <w:tc>
          <w:tcPr>
            <w:tcW w:w="1611" w:type="dxa"/>
          </w:tcPr>
          <w:p w:rsidR="00E51721" w:rsidRDefault="00E51721" w:rsidP="000503FA">
            <w:pPr>
              <w:tabs>
                <w:tab w:val="decimal" w:pos="717"/>
              </w:tabs>
              <w:rPr>
                <w:color w:val="000000"/>
                <w:szCs w:val="24"/>
              </w:rPr>
            </w:pPr>
          </w:p>
        </w:tc>
        <w:tc>
          <w:tcPr>
            <w:tcW w:w="1414" w:type="dxa"/>
          </w:tcPr>
          <w:p w:rsidR="00E51721" w:rsidRDefault="00E51721" w:rsidP="000503FA">
            <w:pPr>
              <w:jc w:val="center"/>
              <w:rPr>
                <w:color w:val="000000"/>
                <w:szCs w:val="24"/>
              </w:rPr>
            </w:pPr>
          </w:p>
        </w:tc>
        <w:tc>
          <w:tcPr>
            <w:tcW w:w="836" w:type="dxa"/>
          </w:tcPr>
          <w:p w:rsidR="00E51721" w:rsidRDefault="00E51721" w:rsidP="000503FA">
            <w:pPr>
              <w:jc w:val="center"/>
              <w:rPr>
                <w:color w:val="000000"/>
                <w:szCs w:val="24"/>
              </w:rPr>
            </w:pPr>
          </w:p>
        </w:tc>
        <w:tc>
          <w:tcPr>
            <w:tcW w:w="810" w:type="dxa"/>
          </w:tcPr>
          <w:p w:rsidR="00E51721" w:rsidRDefault="00E51721" w:rsidP="000503FA">
            <w:pPr>
              <w:jc w:val="center"/>
              <w:rPr>
                <w:color w:val="000000"/>
                <w:szCs w:val="24"/>
              </w:rPr>
            </w:pPr>
          </w:p>
        </w:tc>
        <w:tc>
          <w:tcPr>
            <w:tcW w:w="900" w:type="dxa"/>
          </w:tcPr>
          <w:p w:rsidR="00E51721" w:rsidRPr="00E60845" w:rsidRDefault="00E51721" w:rsidP="000503FA">
            <w:pPr>
              <w:jc w:val="center"/>
              <w:rPr>
                <w:rFonts w:cs="Times New Roman"/>
                <w:color w:val="000000"/>
                <w:szCs w:val="24"/>
              </w:rPr>
            </w:pPr>
          </w:p>
        </w:tc>
        <w:tc>
          <w:tcPr>
            <w:tcW w:w="825" w:type="dxa"/>
          </w:tcPr>
          <w:p w:rsidR="00E51721" w:rsidRPr="00E60845" w:rsidRDefault="00E51721" w:rsidP="000503FA">
            <w:pPr>
              <w:jc w:val="center"/>
              <w:rPr>
                <w:rFonts w:cs="Times New Roman"/>
                <w:color w:val="000000"/>
                <w:szCs w:val="24"/>
              </w:rPr>
            </w:pPr>
          </w:p>
        </w:tc>
        <w:tc>
          <w:tcPr>
            <w:tcW w:w="885" w:type="dxa"/>
          </w:tcPr>
          <w:p w:rsidR="00E51721" w:rsidRDefault="00E51721" w:rsidP="000503FA">
            <w:pPr>
              <w:tabs>
                <w:tab w:val="decimal" w:pos="1186"/>
              </w:tabs>
              <w:rPr>
                <w:color w:val="000000"/>
                <w:szCs w:val="24"/>
              </w:rPr>
            </w:pPr>
          </w:p>
        </w:tc>
        <w:tc>
          <w:tcPr>
            <w:tcW w:w="990" w:type="dxa"/>
          </w:tcPr>
          <w:p w:rsidR="00E51721" w:rsidRDefault="00E51721" w:rsidP="000503FA">
            <w:pPr>
              <w:jc w:val="center"/>
              <w:rPr>
                <w:color w:val="000000"/>
                <w:szCs w:val="24"/>
              </w:rPr>
            </w:pPr>
          </w:p>
        </w:tc>
      </w:tr>
      <w:tr w:rsidR="00E51721" w:rsidTr="00E51721">
        <w:tc>
          <w:tcPr>
            <w:tcW w:w="1287" w:type="dxa"/>
            <w:tcBorders>
              <w:bottom w:val="single" w:sz="4" w:space="0" w:color="auto"/>
            </w:tcBorders>
          </w:tcPr>
          <w:p w:rsidR="00E51721" w:rsidRPr="00E60845" w:rsidRDefault="00E51721" w:rsidP="000503FA">
            <w:pPr>
              <w:jc w:val="center"/>
              <w:rPr>
                <w:rFonts w:cs="Times New Roman"/>
                <w:szCs w:val="24"/>
              </w:rPr>
            </w:pPr>
            <w:r>
              <w:rPr>
                <w:rFonts w:cs="Times New Roman"/>
                <w:szCs w:val="24"/>
              </w:rPr>
              <w:t>6</w:t>
            </w:r>
          </w:p>
        </w:tc>
        <w:tc>
          <w:tcPr>
            <w:tcW w:w="1611" w:type="dxa"/>
            <w:tcBorders>
              <w:bottom w:val="single" w:sz="4" w:space="0" w:color="auto"/>
            </w:tcBorders>
          </w:tcPr>
          <w:p w:rsidR="00E51721" w:rsidRDefault="00E51721" w:rsidP="000503FA">
            <w:pPr>
              <w:tabs>
                <w:tab w:val="decimal" w:pos="717"/>
              </w:tabs>
              <w:rPr>
                <w:color w:val="000000"/>
                <w:szCs w:val="24"/>
              </w:rPr>
            </w:pPr>
          </w:p>
        </w:tc>
        <w:tc>
          <w:tcPr>
            <w:tcW w:w="1414" w:type="dxa"/>
            <w:tcBorders>
              <w:bottom w:val="single" w:sz="4" w:space="0" w:color="auto"/>
            </w:tcBorders>
          </w:tcPr>
          <w:p w:rsidR="00E51721" w:rsidRDefault="00E51721" w:rsidP="000503FA">
            <w:pPr>
              <w:jc w:val="center"/>
              <w:rPr>
                <w:color w:val="000000"/>
                <w:szCs w:val="24"/>
              </w:rPr>
            </w:pPr>
          </w:p>
        </w:tc>
        <w:tc>
          <w:tcPr>
            <w:tcW w:w="836" w:type="dxa"/>
            <w:tcBorders>
              <w:bottom w:val="single" w:sz="4" w:space="0" w:color="auto"/>
            </w:tcBorders>
          </w:tcPr>
          <w:p w:rsidR="00E51721" w:rsidRDefault="00E51721" w:rsidP="000503FA">
            <w:pPr>
              <w:jc w:val="center"/>
              <w:rPr>
                <w:color w:val="000000"/>
                <w:szCs w:val="24"/>
              </w:rPr>
            </w:pPr>
          </w:p>
        </w:tc>
        <w:tc>
          <w:tcPr>
            <w:tcW w:w="810" w:type="dxa"/>
            <w:tcBorders>
              <w:bottom w:val="single" w:sz="4" w:space="0" w:color="auto"/>
            </w:tcBorders>
          </w:tcPr>
          <w:p w:rsidR="00E51721" w:rsidRDefault="00E51721" w:rsidP="000503FA">
            <w:pPr>
              <w:jc w:val="center"/>
              <w:rPr>
                <w:color w:val="000000"/>
                <w:szCs w:val="24"/>
              </w:rPr>
            </w:pPr>
          </w:p>
        </w:tc>
        <w:tc>
          <w:tcPr>
            <w:tcW w:w="900" w:type="dxa"/>
            <w:tcBorders>
              <w:bottom w:val="single" w:sz="4" w:space="0" w:color="auto"/>
            </w:tcBorders>
          </w:tcPr>
          <w:p w:rsidR="00E51721" w:rsidRDefault="00E51721" w:rsidP="000503FA">
            <w:pPr>
              <w:jc w:val="center"/>
              <w:rPr>
                <w:color w:val="000000"/>
                <w:szCs w:val="24"/>
              </w:rPr>
            </w:pPr>
          </w:p>
        </w:tc>
        <w:tc>
          <w:tcPr>
            <w:tcW w:w="825" w:type="dxa"/>
            <w:tcBorders>
              <w:bottom w:val="single" w:sz="4" w:space="0" w:color="auto"/>
            </w:tcBorders>
          </w:tcPr>
          <w:p w:rsidR="00E51721" w:rsidRDefault="00E51721" w:rsidP="000503FA">
            <w:pPr>
              <w:jc w:val="center"/>
              <w:rPr>
                <w:color w:val="000000"/>
                <w:szCs w:val="24"/>
              </w:rPr>
            </w:pPr>
          </w:p>
        </w:tc>
        <w:tc>
          <w:tcPr>
            <w:tcW w:w="885" w:type="dxa"/>
            <w:tcBorders>
              <w:bottom w:val="single" w:sz="4" w:space="0" w:color="auto"/>
            </w:tcBorders>
          </w:tcPr>
          <w:p w:rsidR="00E51721" w:rsidRDefault="00E51721" w:rsidP="000503FA">
            <w:pPr>
              <w:jc w:val="center"/>
              <w:rPr>
                <w:color w:val="000000"/>
                <w:szCs w:val="24"/>
              </w:rPr>
            </w:pPr>
          </w:p>
        </w:tc>
        <w:tc>
          <w:tcPr>
            <w:tcW w:w="990" w:type="dxa"/>
            <w:tcBorders>
              <w:bottom w:val="single" w:sz="4" w:space="0" w:color="auto"/>
            </w:tcBorders>
          </w:tcPr>
          <w:p w:rsidR="00E51721" w:rsidRDefault="00E51721" w:rsidP="000503FA">
            <w:pPr>
              <w:jc w:val="center"/>
              <w:rPr>
                <w:color w:val="000000"/>
                <w:szCs w:val="24"/>
              </w:rPr>
            </w:pPr>
          </w:p>
        </w:tc>
      </w:tr>
    </w:tbl>
    <w:p w:rsidR="00197BE3" w:rsidRDefault="00197BE3" w:rsidP="00D50DF6"/>
    <w:p w:rsidR="00197BE3" w:rsidRDefault="00197BE3">
      <w:r>
        <w:br w:type="page"/>
      </w:r>
    </w:p>
    <w:p w:rsidR="00E51721" w:rsidRDefault="00E51721" w:rsidP="00D50DF6"/>
    <w:p w:rsidR="00197BE3" w:rsidRDefault="00197BE3" w:rsidP="00D50DF6">
      <w:r>
        <w:t>Table 3</w:t>
      </w:r>
    </w:p>
    <w:p w:rsidR="00D50DF6" w:rsidRDefault="00D50DF6" w:rsidP="00D50DF6"/>
    <w:p w:rsidR="00197BE3" w:rsidRPr="003462B4" w:rsidRDefault="003462B4" w:rsidP="00D50DF6">
      <w:pPr>
        <w:rPr>
          <w:i/>
        </w:rPr>
      </w:pPr>
      <w:r w:rsidRPr="003462B4">
        <w:rPr>
          <w:i/>
        </w:rPr>
        <w:t>Summary of Multinomial Logistic Regression</w:t>
      </w:r>
    </w:p>
    <w:p w:rsidR="00D50DF6" w:rsidRDefault="00D50DF6" w:rsidP="00D50DF6"/>
    <w:tbl>
      <w:tblPr>
        <w:tblStyle w:val="TableGrid"/>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596"/>
        <w:gridCol w:w="1596"/>
        <w:gridCol w:w="1596"/>
        <w:gridCol w:w="1596"/>
      </w:tblGrid>
      <w:tr w:rsidR="00197BE3" w:rsidTr="00CF610E">
        <w:tc>
          <w:tcPr>
            <w:tcW w:w="3168" w:type="dxa"/>
            <w:tcBorders>
              <w:top w:val="single" w:sz="4" w:space="0" w:color="auto"/>
              <w:bottom w:val="single" w:sz="4" w:space="0" w:color="auto"/>
            </w:tcBorders>
          </w:tcPr>
          <w:p w:rsidR="00197BE3" w:rsidRDefault="00197BE3"/>
        </w:tc>
        <w:tc>
          <w:tcPr>
            <w:tcW w:w="1596" w:type="dxa"/>
            <w:tcBorders>
              <w:top w:val="single" w:sz="4" w:space="0" w:color="auto"/>
              <w:bottom w:val="single" w:sz="4" w:space="0" w:color="auto"/>
            </w:tcBorders>
          </w:tcPr>
          <w:p w:rsidR="00197BE3" w:rsidRPr="00CF610E" w:rsidRDefault="00197BE3" w:rsidP="00CF610E">
            <w:pPr>
              <w:jc w:val="center"/>
              <w:rPr>
                <w:i/>
              </w:rPr>
            </w:pPr>
            <w:proofErr w:type="spellStart"/>
            <w:r w:rsidRPr="00CF610E">
              <w:rPr>
                <w:i/>
              </w:rPr>
              <w:t>Logit</w:t>
            </w:r>
            <w:proofErr w:type="spellEnd"/>
          </w:p>
        </w:tc>
        <w:tc>
          <w:tcPr>
            <w:tcW w:w="1596" w:type="dxa"/>
            <w:tcBorders>
              <w:top w:val="single" w:sz="4" w:space="0" w:color="auto"/>
              <w:bottom w:val="single" w:sz="4" w:space="0" w:color="auto"/>
            </w:tcBorders>
          </w:tcPr>
          <w:p w:rsidR="00197BE3" w:rsidRPr="00CF610E" w:rsidRDefault="00197BE3" w:rsidP="00CF610E">
            <w:pPr>
              <w:jc w:val="center"/>
              <w:rPr>
                <w:i/>
              </w:rPr>
            </w:pPr>
            <w:r w:rsidRPr="00CF610E">
              <w:rPr>
                <w:i/>
              </w:rPr>
              <w:t>SE</w:t>
            </w:r>
          </w:p>
        </w:tc>
        <w:tc>
          <w:tcPr>
            <w:tcW w:w="1596" w:type="dxa"/>
            <w:tcBorders>
              <w:top w:val="single" w:sz="4" w:space="0" w:color="auto"/>
              <w:bottom w:val="single" w:sz="4" w:space="0" w:color="auto"/>
            </w:tcBorders>
          </w:tcPr>
          <w:p w:rsidR="00197BE3" w:rsidRPr="00CF610E" w:rsidRDefault="00197BE3" w:rsidP="00CF610E">
            <w:pPr>
              <w:jc w:val="center"/>
              <w:rPr>
                <w:i/>
              </w:rPr>
            </w:pPr>
            <w:proofErr w:type="spellStart"/>
            <w:r w:rsidRPr="00CF610E">
              <w:rPr>
                <w:i/>
              </w:rPr>
              <w:t>est</w:t>
            </w:r>
            <w:proofErr w:type="spellEnd"/>
            <w:r w:rsidRPr="00CF610E">
              <w:rPr>
                <w:i/>
              </w:rPr>
              <w:t>/SE</w:t>
            </w:r>
          </w:p>
        </w:tc>
        <w:tc>
          <w:tcPr>
            <w:tcW w:w="1596" w:type="dxa"/>
            <w:tcBorders>
              <w:top w:val="single" w:sz="4" w:space="0" w:color="auto"/>
              <w:bottom w:val="single" w:sz="4" w:space="0" w:color="auto"/>
            </w:tcBorders>
          </w:tcPr>
          <w:p w:rsidR="00197BE3" w:rsidRPr="00CF610E" w:rsidRDefault="00CF610E" w:rsidP="00CF610E">
            <w:pPr>
              <w:jc w:val="center"/>
              <w:rPr>
                <w:i/>
              </w:rPr>
            </w:pPr>
            <w:r>
              <w:rPr>
                <w:i/>
              </w:rPr>
              <w:t>Odds Ratio</w:t>
            </w:r>
          </w:p>
        </w:tc>
      </w:tr>
      <w:tr w:rsidR="00197BE3" w:rsidTr="00CF610E">
        <w:tc>
          <w:tcPr>
            <w:tcW w:w="3168" w:type="dxa"/>
            <w:tcBorders>
              <w:top w:val="single" w:sz="4" w:space="0" w:color="auto"/>
            </w:tcBorders>
          </w:tcPr>
          <w:p w:rsidR="00197BE3" w:rsidRDefault="00197BE3">
            <w:r>
              <w:t>Class 2</w:t>
            </w:r>
            <w:r w:rsidR="00CF610E">
              <w:t>: NAME</w:t>
            </w:r>
          </w:p>
        </w:tc>
        <w:tc>
          <w:tcPr>
            <w:tcW w:w="1596" w:type="dxa"/>
            <w:tcBorders>
              <w:top w:val="single" w:sz="4" w:space="0" w:color="auto"/>
            </w:tcBorders>
          </w:tcPr>
          <w:p w:rsidR="00197BE3" w:rsidRDefault="00197BE3"/>
        </w:tc>
        <w:tc>
          <w:tcPr>
            <w:tcW w:w="1596" w:type="dxa"/>
            <w:tcBorders>
              <w:top w:val="single" w:sz="4" w:space="0" w:color="auto"/>
            </w:tcBorders>
          </w:tcPr>
          <w:p w:rsidR="00197BE3" w:rsidRDefault="00197BE3"/>
        </w:tc>
        <w:tc>
          <w:tcPr>
            <w:tcW w:w="1596" w:type="dxa"/>
            <w:tcBorders>
              <w:top w:val="single" w:sz="4" w:space="0" w:color="auto"/>
            </w:tcBorders>
          </w:tcPr>
          <w:p w:rsidR="00197BE3" w:rsidRDefault="00197BE3"/>
        </w:tc>
        <w:tc>
          <w:tcPr>
            <w:tcW w:w="1596" w:type="dxa"/>
            <w:tcBorders>
              <w:top w:val="single" w:sz="4" w:space="0" w:color="auto"/>
            </w:tcBorders>
          </w:tcPr>
          <w:p w:rsidR="00197BE3" w:rsidRDefault="00197BE3"/>
        </w:tc>
      </w:tr>
      <w:tr w:rsidR="00197BE3" w:rsidTr="00CF610E">
        <w:tc>
          <w:tcPr>
            <w:tcW w:w="3168" w:type="dxa"/>
          </w:tcPr>
          <w:p w:rsidR="00197BE3" w:rsidRDefault="00197BE3" w:rsidP="003462B4">
            <w:pPr>
              <w:ind w:left="180"/>
            </w:pPr>
            <w:r>
              <w:t>Underrepresented minority</w:t>
            </w:r>
          </w:p>
        </w:tc>
        <w:tc>
          <w:tcPr>
            <w:tcW w:w="1596" w:type="dxa"/>
          </w:tcPr>
          <w:p w:rsidR="00197BE3" w:rsidRDefault="00CF610E" w:rsidP="00CF610E">
            <w:pPr>
              <w:tabs>
                <w:tab w:val="decimal" w:pos="612"/>
              </w:tabs>
            </w:pPr>
            <w:r>
              <w:t>-0.48</w:t>
            </w:r>
            <w:r w:rsidR="001D7A9E">
              <w:t>***</w:t>
            </w:r>
          </w:p>
        </w:tc>
        <w:tc>
          <w:tcPr>
            <w:tcW w:w="1596" w:type="dxa"/>
          </w:tcPr>
          <w:p w:rsidR="00197BE3" w:rsidRDefault="00CF610E" w:rsidP="00CF610E">
            <w:pPr>
              <w:jc w:val="center"/>
            </w:pPr>
            <w:r>
              <w:t>0.17</w:t>
            </w:r>
          </w:p>
        </w:tc>
        <w:tc>
          <w:tcPr>
            <w:tcW w:w="1596" w:type="dxa"/>
          </w:tcPr>
          <w:p w:rsidR="00197BE3" w:rsidRDefault="00CF610E" w:rsidP="00CF610E">
            <w:pPr>
              <w:tabs>
                <w:tab w:val="decimal" w:pos="564"/>
              </w:tabs>
            </w:pPr>
            <w:r>
              <w:t>-2.87</w:t>
            </w:r>
          </w:p>
        </w:tc>
        <w:tc>
          <w:tcPr>
            <w:tcW w:w="1596" w:type="dxa"/>
          </w:tcPr>
          <w:p w:rsidR="00197BE3" w:rsidRDefault="00CF610E" w:rsidP="00CF610E">
            <w:pPr>
              <w:jc w:val="center"/>
            </w:pPr>
            <w:r>
              <w:t>0.62</w:t>
            </w:r>
          </w:p>
        </w:tc>
      </w:tr>
      <w:tr w:rsidR="00197BE3" w:rsidTr="00CF610E">
        <w:tc>
          <w:tcPr>
            <w:tcW w:w="3168" w:type="dxa"/>
          </w:tcPr>
          <w:p w:rsidR="00197BE3" w:rsidRDefault="00197BE3" w:rsidP="003462B4">
            <w:pPr>
              <w:ind w:left="180"/>
            </w:pPr>
            <w:r>
              <w:t>Female</w:t>
            </w:r>
          </w:p>
        </w:tc>
        <w:tc>
          <w:tcPr>
            <w:tcW w:w="1596" w:type="dxa"/>
          </w:tcPr>
          <w:p w:rsidR="00197BE3" w:rsidRDefault="00CF610E" w:rsidP="00CF610E">
            <w:pPr>
              <w:tabs>
                <w:tab w:val="decimal" w:pos="612"/>
              </w:tabs>
            </w:pPr>
            <w:r>
              <w:t>0.83</w:t>
            </w:r>
            <w:r w:rsidR="001D7A9E">
              <w:t>***</w:t>
            </w:r>
          </w:p>
        </w:tc>
        <w:tc>
          <w:tcPr>
            <w:tcW w:w="1596" w:type="dxa"/>
          </w:tcPr>
          <w:p w:rsidR="00197BE3" w:rsidRDefault="00CF610E" w:rsidP="00CF610E">
            <w:pPr>
              <w:jc w:val="center"/>
            </w:pPr>
            <w:r>
              <w:t>0.13</w:t>
            </w:r>
          </w:p>
        </w:tc>
        <w:tc>
          <w:tcPr>
            <w:tcW w:w="1596" w:type="dxa"/>
          </w:tcPr>
          <w:p w:rsidR="00197BE3" w:rsidRDefault="00CF610E" w:rsidP="00CF610E">
            <w:pPr>
              <w:tabs>
                <w:tab w:val="decimal" w:pos="564"/>
              </w:tabs>
            </w:pPr>
            <w:r>
              <w:t>6.43</w:t>
            </w:r>
          </w:p>
        </w:tc>
        <w:tc>
          <w:tcPr>
            <w:tcW w:w="1596" w:type="dxa"/>
          </w:tcPr>
          <w:p w:rsidR="00197BE3" w:rsidRDefault="00CF610E" w:rsidP="00CF610E">
            <w:pPr>
              <w:jc w:val="center"/>
            </w:pPr>
            <w:r>
              <w:t>2.28</w:t>
            </w:r>
          </w:p>
        </w:tc>
      </w:tr>
      <w:tr w:rsidR="00197BE3" w:rsidTr="00CF610E">
        <w:tc>
          <w:tcPr>
            <w:tcW w:w="3168" w:type="dxa"/>
          </w:tcPr>
          <w:p w:rsidR="00197BE3" w:rsidRDefault="00197BE3" w:rsidP="003462B4">
            <w:pPr>
              <w:ind w:left="180"/>
            </w:pPr>
            <w:r>
              <w:t>Mathematics achievement</w:t>
            </w:r>
          </w:p>
        </w:tc>
        <w:tc>
          <w:tcPr>
            <w:tcW w:w="1596" w:type="dxa"/>
          </w:tcPr>
          <w:p w:rsidR="00197BE3" w:rsidRDefault="00CF610E" w:rsidP="00CF610E">
            <w:pPr>
              <w:tabs>
                <w:tab w:val="decimal" w:pos="612"/>
              </w:tabs>
            </w:pPr>
            <w:r>
              <w:t>-0.02</w:t>
            </w:r>
            <w:r w:rsidR="001D7A9E">
              <w:t>**</w:t>
            </w:r>
          </w:p>
        </w:tc>
        <w:tc>
          <w:tcPr>
            <w:tcW w:w="1596" w:type="dxa"/>
          </w:tcPr>
          <w:p w:rsidR="00197BE3" w:rsidRDefault="00CF610E" w:rsidP="00CF610E">
            <w:pPr>
              <w:jc w:val="center"/>
            </w:pPr>
            <w:r>
              <w:t>0.01</w:t>
            </w:r>
          </w:p>
        </w:tc>
        <w:tc>
          <w:tcPr>
            <w:tcW w:w="1596" w:type="dxa"/>
          </w:tcPr>
          <w:p w:rsidR="00197BE3" w:rsidRDefault="00CF610E" w:rsidP="00CF610E">
            <w:pPr>
              <w:tabs>
                <w:tab w:val="decimal" w:pos="564"/>
              </w:tabs>
            </w:pPr>
            <w:r>
              <w:t>-2.72</w:t>
            </w:r>
          </w:p>
        </w:tc>
        <w:tc>
          <w:tcPr>
            <w:tcW w:w="1596" w:type="dxa"/>
          </w:tcPr>
          <w:p w:rsidR="00197BE3" w:rsidRDefault="00CF610E" w:rsidP="00CF610E">
            <w:pPr>
              <w:jc w:val="center"/>
            </w:pPr>
            <w:r>
              <w:t>0.98</w:t>
            </w:r>
          </w:p>
        </w:tc>
      </w:tr>
      <w:tr w:rsidR="00197BE3" w:rsidTr="00CF610E">
        <w:tc>
          <w:tcPr>
            <w:tcW w:w="3168" w:type="dxa"/>
          </w:tcPr>
          <w:p w:rsidR="00197BE3" w:rsidRDefault="00197BE3">
            <w:r>
              <w:t>Class 3</w:t>
            </w:r>
            <w:r w:rsidR="00CF610E">
              <w:t>: NAME</w:t>
            </w:r>
          </w:p>
        </w:tc>
        <w:tc>
          <w:tcPr>
            <w:tcW w:w="1596" w:type="dxa"/>
          </w:tcPr>
          <w:p w:rsidR="00197BE3" w:rsidRDefault="00197BE3" w:rsidP="00CF610E">
            <w:pPr>
              <w:tabs>
                <w:tab w:val="decimal" w:pos="612"/>
              </w:tabs>
            </w:pPr>
          </w:p>
        </w:tc>
        <w:tc>
          <w:tcPr>
            <w:tcW w:w="1596" w:type="dxa"/>
          </w:tcPr>
          <w:p w:rsidR="00197BE3" w:rsidRDefault="00197BE3" w:rsidP="00CF610E">
            <w:pPr>
              <w:jc w:val="center"/>
            </w:pPr>
          </w:p>
        </w:tc>
        <w:tc>
          <w:tcPr>
            <w:tcW w:w="1596" w:type="dxa"/>
          </w:tcPr>
          <w:p w:rsidR="00197BE3" w:rsidRDefault="00197BE3" w:rsidP="00CF610E">
            <w:pPr>
              <w:tabs>
                <w:tab w:val="decimal" w:pos="564"/>
              </w:tabs>
            </w:pPr>
          </w:p>
        </w:tc>
        <w:tc>
          <w:tcPr>
            <w:tcW w:w="1596" w:type="dxa"/>
          </w:tcPr>
          <w:p w:rsidR="00197BE3" w:rsidRDefault="00197BE3" w:rsidP="00CF610E">
            <w:pPr>
              <w:jc w:val="center"/>
            </w:pPr>
          </w:p>
        </w:tc>
      </w:tr>
      <w:tr w:rsidR="00197BE3" w:rsidTr="00CF610E">
        <w:tc>
          <w:tcPr>
            <w:tcW w:w="3168" w:type="dxa"/>
          </w:tcPr>
          <w:p w:rsidR="00197BE3" w:rsidRDefault="00197BE3" w:rsidP="003462B4">
            <w:pPr>
              <w:ind w:left="180"/>
            </w:pPr>
            <w:r>
              <w:t>Underrepresented minority</w:t>
            </w:r>
          </w:p>
        </w:tc>
        <w:tc>
          <w:tcPr>
            <w:tcW w:w="1596" w:type="dxa"/>
          </w:tcPr>
          <w:p w:rsidR="00197BE3" w:rsidRDefault="00CF610E" w:rsidP="00CF610E">
            <w:pPr>
              <w:tabs>
                <w:tab w:val="decimal" w:pos="612"/>
              </w:tabs>
            </w:pPr>
            <w:r>
              <w:t>0.02</w:t>
            </w:r>
          </w:p>
        </w:tc>
        <w:tc>
          <w:tcPr>
            <w:tcW w:w="1596" w:type="dxa"/>
          </w:tcPr>
          <w:p w:rsidR="00197BE3" w:rsidRDefault="00CF610E" w:rsidP="00CF610E">
            <w:pPr>
              <w:jc w:val="center"/>
            </w:pPr>
            <w:r>
              <w:t>0.23</w:t>
            </w:r>
          </w:p>
        </w:tc>
        <w:tc>
          <w:tcPr>
            <w:tcW w:w="1596" w:type="dxa"/>
          </w:tcPr>
          <w:p w:rsidR="00197BE3" w:rsidRDefault="00CF610E" w:rsidP="00CF610E">
            <w:pPr>
              <w:tabs>
                <w:tab w:val="decimal" w:pos="564"/>
              </w:tabs>
            </w:pPr>
            <w:r>
              <w:t>0.10</w:t>
            </w:r>
          </w:p>
        </w:tc>
        <w:tc>
          <w:tcPr>
            <w:tcW w:w="1596" w:type="dxa"/>
          </w:tcPr>
          <w:p w:rsidR="00197BE3" w:rsidRDefault="00CF610E" w:rsidP="00CF610E">
            <w:pPr>
              <w:jc w:val="center"/>
            </w:pPr>
            <w:r>
              <w:t>1.02</w:t>
            </w:r>
          </w:p>
        </w:tc>
      </w:tr>
      <w:tr w:rsidR="00197BE3" w:rsidTr="00CF610E">
        <w:tc>
          <w:tcPr>
            <w:tcW w:w="3168" w:type="dxa"/>
          </w:tcPr>
          <w:p w:rsidR="00197BE3" w:rsidRDefault="00197BE3" w:rsidP="003462B4">
            <w:pPr>
              <w:ind w:left="180"/>
            </w:pPr>
            <w:r>
              <w:t>Female</w:t>
            </w:r>
          </w:p>
        </w:tc>
        <w:tc>
          <w:tcPr>
            <w:tcW w:w="1596" w:type="dxa"/>
          </w:tcPr>
          <w:p w:rsidR="00197BE3" w:rsidRDefault="00CF610E" w:rsidP="00CF610E">
            <w:pPr>
              <w:tabs>
                <w:tab w:val="decimal" w:pos="612"/>
              </w:tabs>
            </w:pPr>
            <w:r>
              <w:t>0.28</w:t>
            </w:r>
          </w:p>
        </w:tc>
        <w:tc>
          <w:tcPr>
            <w:tcW w:w="1596" w:type="dxa"/>
          </w:tcPr>
          <w:p w:rsidR="00197BE3" w:rsidRDefault="00CF610E" w:rsidP="00CF610E">
            <w:pPr>
              <w:jc w:val="center"/>
            </w:pPr>
            <w:r>
              <w:t>0.15</w:t>
            </w:r>
          </w:p>
        </w:tc>
        <w:tc>
          <w:tcPr>
            <w:tcW w:w="1596" w:type="dxa"/>
          </w:tcPr>
          <w:p w:rsidR="00197BE3" w:rsidRDefault="00CF610E" w:rsidP="00CF610E">
            <w:pPr>
              <w:tabs>
                <w:tab w:val="decimal" w:pos="564"/>
              </w:tabs>
            </w:pPr>
            <w:r>
              <w:t>1.83</w:t>
            </w:r>
          </w:p>
        </w:tc>
        <w:tc>
          <w:tcPr>
            <w:tcW w:w="1596" w:type="dxa"/>
          </w:tcPr>
          <w:p w:rsidR="00197BE3" w:rsidRDefault="00CF610E" w:rsidP="00CF610E">
            <w:pPr>
              <w:jc w:val="center"/>
            </w:pPr>
            <w:r>
              <w:t>1.32</w:t>
            </w:r>
          </w:p>
        </w:tc>
      </w:tr>
      <w:tr w:rsidR="00197BE3" w:rsidTr="00CF610E">
        <w:tc>
          <w:tcPr>
            <w:tcW w:w="3168" w:type="dxa"/>
          </w:tcPr>
          <w:p w:rsidR="00197BE3" w:rsidRDefault="00197BE3" w:rsidP="003462B4">
            <w:pPr>
              <w:ind w:left="180"/>
            </w:pPr>
            <w:r>
              <w:t>Mathematics achievement</w:t>
            </w:r>
          </w:p>
        </w:tc>
        <w:tc>
          <w:tcPr>
            <w:tcW w:w="1596" w:type="dxa"/>
          </w:tcPr>
          <w:p w:rsidR="00197BE3" w:rsidRDefault="00CF610E" w:rsidP="00CF610E">
            <w:pPr>
              <w:tabs>
                <w:tab w:val="decimal" w:pos="612"/>
              </w:tabs>
            </w:pPr>
            <w:r>
              <w:t>-0.06</w:t>
            </w:r>
            <w:r w:rsidR="001D7A9E">
              <w:t>***</w:t>
            </w:r>
          </w:p>
        </w:tc>
        <w:tc>
          <w:tcPr>
            <w:tcW w:w="1596" w:type="dxa"/>
          </w:tcPr>
          <w:p w:rsidR="00197BE3" w:rsidRDefault="00CF610E" w:rsidP="00CF610E">
            <w:pPr>
              <w:jc w:val="center"/>
            </w:pPr>
            <w:r>
              <w:t>0.01</w:t>
            </w:r>
          </w:p>
        </w:tc>
        <w:tc>
          <w:tcPr>
            <w:tcW w:w="1596" w:type="dxa"/>
          </w:tcPr>
          <w:p w:rsidR="00197BE3" w:rsidRDefault="00CF610E" w:rsidP="00CF610E">
            <w:pPr>
              <w:tabs>
                <w:tab w:val="decimal" w:pos="564"/>
              </w:tabs>
            </w:pPr>
            <w:r>
              <w:t>-5.17</w:t>
            </w:r>
          </w:p>
        </w:tc>
        <w:tc>
          <w:tcPr>
            <w:tcW w:w="1596" w:type="dxa"/>
          </w:tcPr>
          <w:p w:rsidR="00197BE3" w:rsidRDefault="00CF610E" w:rsidP="00CF610E">
            <w:pPr>
              <w:jc w:val="center"/>
            </w:pPr>
            <w:r>
              <w:t>0.94</w:t>
            </w:r>
          </w:p>
        </w:tc>
      </w:tr>
      <w:tr w:rsidR="00197BE3" w:rsidTr="00CF610E">
        <w:tc>
          <w:tcPr>
            <w:tcW w:w="3168" w:type="dxa"/>
          </w:tcPr>
          <w:p w:rsidR="00197BE3" w:rsidRDefault="00197BE3">
            <w:r>
              <w:t>Class 4</w:t>
            </w:r>
            <w:r w:rsidR="00CF610E">
              <w:t>: NAME</w:t>
            </w:r>
          </w:p>
        </w:tc>
        <w:tc>
          <w:tcPr>
            <w:tcW w:w="1596" w:type="dxa"/>
          </w:tcPr>
          <w:p w:rsidR="00197BE3" w:rsidRDefault="00197BE3" w:rsidP="00CF610E">
            <w:pPr>
              <w:tabs>
                <w:tab w:val="decimal" w:pos="612"/>
              </w:tabs>
            </w:pPr>
          </w:p>
        </w:tc>
        <w:tc>
          <w:tcPr>
            <w:tcW w:w="1596" w:type="dxa"/>
          </w:tcPr>
          <w:p w:rsidR="00197BE3" w:rsidRDefault="00197BE3" w:rsidP="00CF610E">
            <w:pPr>
              <w:jc w:val="center"/>
            </w:pPr>
          </w:p>
        </w:tc>
        <w:tc>
          <w:tcPr>
            <w:tcW w:w="1596" w:type="dxa"/>
          </w:tcPr>
          <w:p w:rsidR="00197BE3" w:rsidRDefault="00197BE3" w:rsidP="00CF610E">
            <w:pPr>
              <w:tabs>
                <w:tab w:val="decimal" w:pos="564"/>
              </w:tabs>
            </w:pPr>
          </w:p>
        </w:tc>
        <w:tc>
          <w:tcPr>
            <w:tcW w:w="1596" w:type="dxa"/>
          </w:tcPr>
          <w:p w:rsidR="00197BE3" w:rsidRDefault="00197BE3" w:rsidP="00CF610E">
            <w:pPr>
              <w:jc w:val="center"/>
            </w:pPr>
          </w:p>
        </w:tc>
      </w:tr>
      <w:tr w:rsidR="00197BE3" w:rsidTr="00CF610E">
        <w:tc>
          <w:tcPr>
            <w:tcW w:w="3168" w:type="dxa"/>
          </w:tcPr>
          <w:p w:rsidR="00197BE3" w:rsidRDefault="00197BE3" w:rsidP="003462B4">
            <w:pPr>
              <w:ind w:left="180"/>
            </w:pPr>
            <w:r>
              <w:t>Underrepresented minority</w:t>
            </w:r>
          </w:p>
        </w:tc>
        <w:tc>
          <w:tcPr>
            <w:tcW w:w="1596" w:type="dxa"/>
          </w:tcPr>
          <w:p w:rsidR="00197BE3" w:rsidRDefault="00CF610E" w:rsidP="00CF610E">
            <w:pPr>
              <w:tabs>
                <w:tab w:val="decimal" w:pos="612"/>
              </w:tabs>
            </w:pPr>
            <w:r>
              <w:t>-0.40</w:t>
            </w:r>
            <w:r w:rsidR="001D7A9E">
              <w:t>*</w:t>
            </w:r>
          </w:p>
        </w:tc>
        <w:tc>
          <w:tcPr>
            <w:tcW w:w="1596" w:type="dxa"/>
          </w:tcPr>
          <w:p w:rsidR="00197BE3" w:rsidRDefault="00CF610E" w:rsidP="00CF610E">
            <w:pPr>
              <w:jc w:val="center"/>
            </w:pPr>
            <w:r>
              <w:t>0.18</w:t>
            </w:r>
          </w:p>
        </w:tc>
        <w:tc>
          <w:tcPr>
            <w:tcW w:w="1596" w:type="dxa"/>
          </w:tcPr>
          <w:p w:rsidR="00197BE3" w:rsidRDefault="00CF610E" w:rsidP="00CF610E">
            <w:pPr>
              <w:tabs>
                <w:tab w:val="decimal" w:pos="564"/>
              </w:tabs>
            </w:pPr>
            <w:r>
              <w:t>-2.22</w:t>
            </w:r>
          </w:p>
        </w:tc>
        <w:tc>
          <w:tcPr>
            <w:tcW w:w="1596" w:type="dxa"/>
          </w:tcPr>
          <w:p w:rsidR="00197BE3" w:rsidRDefault="00CF610E" w:rsidP="00CF610E">
            <w:pPr>
              <w:jc w:val="center"/>
            </w:pPr>
            <w:r>
              <w:t>0.67</w:t>
            </w:r>
          </w:p>
        </w:tc>
      </w:tr>
      <w:tr w:rsidR="00197BE3" w:rsidTr="00CF610E">
        <w:tc>
          <w:tcPr>
            <w:tcW w:w="3168" w:type="dxa"/>
          </w:tcPr>
          <w:p w:rsidR="00197BE3" w:rsidRDefault="00197BE3" w:rsidP="003462B4">
            <w:pPr>
              <w:ind w:left="180"/>
            </w:pPr>
            <w:r>
              <w:t>Female</w:t>
            </w:r>
          </w:p>
        </w:tc>
        <w:tc>
          <w:tcPr>
            <w:tcW w:w="1596" w:type="dxa"/>
          </w:tcPr>
          <w:p w:rsidR="00197BE3" w:rsidRDefault="00CF610E" w:rsidP="00CF610E">
            <w:pPr>
              <w:tabs>
                <w:tab w:val="decimal" w:pos="612"/>
              </w:tabs>
            </w:pPr>
            <w:r>
              <w:t>0.56</w:t>
            </w:r>
            <w:r w:rsidR="001D7A9E">
              <w:t>***</w:t>
            </w:r>
          </w:p>
        </w:tc>
        <w:tc>
          <w:tcPr>
            <w:tcW w:w="1596" w:type="dxa"/>
          </w:tcPr>
          <w:p w:rsidR="00197BE3" w:rsidRDefault="00CF610E" w:rsidP="00CF610E">
            <w:pPr>
              <w:jc w:val="center"/>
            </w:pPr>
            <w:r>
              <w:t>0.13</w:t>
            </w:r>
          </w:p>
        </w:tc>
        <w:tc>
          <w:tcPr>
            <w:tcW w:w="1596" w:type="dxa"/>
          </w:tcPr>
          <w:p w:rsidR="00197BE3" w:rsidRDefault="00CF610E" w:rsidP="00CF610E">
            <w:pPr>
              <w:tabs>
                <w:tab w:val="decimal" w:pos="564"/>
              </w:tabs>
            </w:pPr>
            <w:r>
              <w:t>4.19</w:t>
            </w:r>
          </w:p>
        </w:tc>
        <w:tc>
          <w:tcPr>
            <w:tcW w:w="1596" w:type="dxa"/>
          </w:tcPr>
          <w:p w:rsidR="00197BE3" w:rsidRDefault="00CF610E" w:rsidP="00CF610E">
            <w:pPr>
              <w:jc w:val="center"/>
            </w:pPr>
            <w:r>
              <w:t>1.75</w:t>
            </w:r>
          </w:p>
        </w:tc>
      </w:tr>
      <w:tr w:rsidR="00197BE3" w:rsidTr="00CF610E">
        <w:tc>
          <w:tcPr>
            <w:tcW w:w="3168" w:type="dxa"/>
            <w:tcBorders>
              <w:bottom w:val="single" w:sz="4" w:space="0" w:color="auto"/>
            </w:tcBorders>
          </w:tcPr>
          <w:p w:rsidR="00197BE3" w:rsidRDefault="00197BE3" w:rsidP="003462B4">
            <w:pPr>
              <w:ind w:left="180"/>
            </w:pPr>
            <w:r>
              <w:t>Mathematics achievement</w:t>
            </w:r>
          </w:p>
        </w:tc>
        <w:tc>
          <w:tcPr>
            <w:tcW w:w="1596" w:type="dxa"/>
            <w:tcBorders>
              <w:bottom w:val="single" w:sz="4" w:space="0" w:color="auto"/>
            </w:tcBorders>
          </w:tcPr>
          <w:p w:rsidR="00197BE3" w:rsidRDefault="00CF610E" w:rsidP="00CF610E">
            <w:pPr>
              <w:tabs>
                <w:tab w:val="decimal" w:pos="612"/>
              </w:tabs>
            </w:pPr>
            <w:r>
              <w:t>-0.06</w:t>
            </w:r>
            <w:r w:rsidR="001D7A9E">
              <w:t>***</w:t>
            </w:r>
          </w:p>
        </w:tc>
        <w:tc>
          <w:tcPr>
            <w:tcW w:w="1596" w:type="dxa"/>
            <w:tcBorders>
              <w:bottom w:val="single" w:sz="4" w:space="0" w:color="auto"/>
            </w:tcBorders>
          </w:tcPr>
          <w:p w:rsidR="00197BE3" w:rsidRDefault="00CF610E" w:rsidP="00CF610E">
            <w:pPr>
              <w:jc w:val="center"/>
            </w:pPr>
            <w:r>
              <w:t>0.01</w:t>
            </w:r>
          </w:p>
        </w:tc>
        <w:tc>
          <w:tcPr>
            <w:tcW w:w="1596" w:type="dxa"/>
            <w:tcBorders>
              <w:bottom w:val="single" w:sz="4" w:space="0" w:color="auto"/>
            </w:tcBorders>
          </w:tcPr>
          <w:p w:rsidR="00197BE3" w:rsidRDefault="00CF610E" w:rsidP="00CF610E">
            <w:pPr>
              <w:tabs>
                <w:tab w:val="decimal" w:pos="564"/>
              </w:tabs>
            </w:pPr>
            <w:r>
              <w:t>-5.16</w:t>
            </w:r>
          </w:p>
        </w:tc>
        <w:tc>
          <w:tcPr>
            <w:tcW w:w="1596" w:type="dxa"/>
            <w:tcBorders>
              <w:bottom w:val="single" w:sz="4" w:space="0" w:color="auto"/>
            </w:tcBorders>
          </w:tcPr>
          <w:p w:rsidR="00197BE3" w:rsidRDefault="00CF610E" w:rsidP="00CF610E">
            <w:pPr>
              <w:jc w:val="center"/>
            </w:pPr>
            <w:r>
              <w:t>0.95</w:t>
            </w:r>
          </w:p>
        </w:tc>
      </w:tr>
    </w:tbl>
    <w:p w:rsidR="00CF610E" w:rsidRDefault="003462B4">
      <w:r w:rsidRPr="00CF610E">
        <w:rPr>
          <w:i/>
        </w:rPr>
        <w:t>Note</w:t>
      </w:r>
      <w:r>
        <w:t xml:space="preserve">. </w:t>
      </w:r>
      <w:r w:rsidR="00CF610E">
        <w:t>Comparison group is “Class 1: NAME”.</w:t>
      </w:r>
    </w:p>
    <w:p w:rsidR="00D50DF6" w:rsidRDefault="00CF610E">
      <w:proofErr w:type="gramStart"/>
      <w:r>
        <w:t>*</w:t>
      </w:r>
      <w:r w:rsidRPr="00CF610E">
        <w:rPr>
          <w:i/>
        </w:rPr>
        <w:t>p</w:t>
      </w:r>
      <w:r>
        <w:t xml:space="preserve"> &lt; .05.</w:t>
      </w:r>
      <w:proofErr w:type="gramEnd"/>
      <w:r>
        <w:t xml:space="preserve"> </w:t>
      </w:r>
      <w:proofErr w:type="gramStart"/>
      <w:r>
        <w:t>**</w:t>
      </w:r>
      <w:r w:rsidRPr="00CF610E">
        <w:rPr>
          <w:i/>
        </w:rPr>
        <w:t>p</w:t>
      </w:r>
      <w:r>
        <w:t xml:space="preserve"> &lt; .01.</w:t>
      </w:r>
      <w:proofErr w:type="gramEnd"/>
      <w:r>
        <w:t xml:space="preserve"> </w:t>
      </w:r>
      <w:proofErr w:type="gramStart"/>
      <w:r>
        <w:t>***</w:t>
      </w:r>
      <w:r w:rsidRPr="00CF610E">
        <w:rPr>
          <w:i/>
        </w:rPr>
        <w:t>p</w:t>
      </w:r>
      <w:r>
        <w:t xml:space="preserve"> &lt; .001.</w:t>
      </w:r>
      <w:proofErr w:type="gramEnd"/>
      <w:r w:rsidR="00D50DF6">
        <w:br w:type="page"/>
      </w:r>
    </w:p>
    <w:p w:rsidR="00D50DF6" w:rsidRDefault="00D50DF6" w:rsidP="00D50DF6"/>
    <w:p w:rsidR="00D50DF6" w:rsidRDefault="00197BE3" w:rsidP="00D50DF6">
      <w:r w:rsidRPr="00197BE3">
        <w:rPr>
          <w:noProof/>
        </w:rPr>
        <w:drawing>
          <wp:inline distT="0" distB="0" distL="0" distR="0">
            <wp:extent cx="5943600" cy="320451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43600" cy="3204512"/>
                    </a:xfrm>
                    <a:prstGeom prst="rect">
                      <a:avLst/>
                    </a:prstGeom>
                    <a:noFill/>
                    <a:ln w="9525">
                      <a:noFill/>
                      <a:miter lim="800000"/>
                      <a:headEnd/>
                      <a:tailEnd/>
                    </a:ln>
                  </pic:spPr>
                </pic:pic>
              </a:graphicData>
            </a:graphic>
          </wp:inline>
        </w:drawing>
      </w:r>
    </w:p>
    <w:p w:rsidR="00D50DF6" w:rsidRDefault="00D50DF6" w:rsidP="00D50DF6"/>
    <w:p w:rsidR="00D50DF6" w:rsidRDefault="00D50DF6" w:rsidP="00D50DF6">
      <w:proofErr w:type="gramStart"/>
      <w:r w:rsidRPr="00D50DF6">
        <w:rPr>
          <w:i/>
        </w:rPr>
        <w:t>Figure 1</w:t>
      </w:r>
      <w:r>
        <w:t>.</w:t>
      </w:r>
      <w:proofErr w:type="gramEnd"/>
      <w:r>
        <w:t xml:space="preserve"> </w:t>
      </w:r>
      <w:r w:rsidR="00197BE3">
        <w:t>Item probability profiles. MI:</w:t>
      </w:r>
      <w:r w:rsidR="001755D6">
        <w:t xml:space="preserve"> I will change names of classes and make this black and white for publication purposes.</w:t>
      </w:r>
    </w:p>
    <w:p w:rsidR="00D50DF6" w:rsidRDefault="00D50DF6" w:rsidP="00D50DF6"/>
    <w:p w:rsidR="00D50DF6" w:rsidRPr="00D50DF6" w:rsidRDefault="00D50DF6" w:rsidP="00D50DF6"/>
    <w:sectPr w:rsidR="00D50DF6" w:rsidRPr="00D50DF6" w:rsidSect="00D50DF6">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ren Nylund Gibson" w:date="2012-12-20T06:49:00Z" w:initials="kng">
    <w:p w:rsidR="00384F07" w:rsidRDefault="00384F07">
      <w:pPr>
        <w:pStyle w:val="CommentText"/>
      </w:pPr>
      <w:r>
        <w:rPr>
          <w:rStyle w:val="CommentReference"/>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49E" w:rsidRDefault="0098349E" w:rsidP="00D50DF6">
      <w:r>
        <w:separator/>
      </w:r>
    </w:p>
  </w:endnote>
  <w:endnote w:type="continuationSeparator" w:id="0">
    <w:p w:rsidR="0098349E" w:rsidRDefault="0098349E" w:rsidP="00D50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49E" w:rsidRDefault="0098349E" w:rsidP="00D50DF6">
      <w:r>
        <w:separator/>
      </w:r>
    </w:p>
  </w:footnote>
  <w:footnote w:type="continuationSeparator" w:id="0">
    <w:p w:rsidR="0098349E" w:rsidRDefault="0098349E" w:rsidP="00D50D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255146"/>
      <w:docPartObj>
        <w:docPartGallery w:val="Page Numbers (Top of Page)"/>
        <w:docPartUnique/>
      </w:docPartObj>
    </w:sdtPr>
    <w:sdtEndPr/>
    <w:sdtContent>
      <w:p w:rsidR="000503FA" w:rsidRDefault="000503FA" w:rsidP="00D50DF6">
        <w:pPr>
          <w:pStyle w:val="Header"/>
          <w:jc w:val="center"/>
        </w:pPr>
        <w:r>
          <w:t xml:space="preserve">Running head: XXX </w:t>
        </w:r>
        <w:r>
          <w:tab/>
        </w:r>
        <w:r>
          <w:tab/>
        </w:r>
        <w:r w:rsidR="002252FD">
          <w:fldChar w:fldCharType="begin"/>
        </w:r>
        <w:r w:rsidR="002252FD">
          <w:instrText xml:space="preserve"> PAGE   \* MERGEFORMAT </w:instrText>
        </w:r>
        <w:r w:rsidR="002252FD">
          <w:fldChar w:fldCharType="separate"/>
        </w:r>
        <w:r w:rsidR="009459DB">
          <w:rPr>
            <w:noProof/>
          </w:rPr>
          <w:t>11</w:t>
        </w:r>
        <w:r w:rsidR="002252FD">
          <w:rPr>
            <w:noProof/>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3FA" w:rsidRDefault="000503FA">
    <w:pPr>
      <w:pStyle w:val="Header"/>
      <w:jc w:val="right"/>
    </w:pPr>
    <w:r>
      <w:t>Running head: XX</w:t>
    </w:r>
    <w:r>
      <w:tab/>
      <w:t xml:space="preserve"> </w:t>
    </w:r>
    <w:r>
      <w:tab/>
    </w:r>
    <w:sdt>
      <w:sdtPr>
        <w:id w:val="96255155"/>
        <w:docPartObj>
          <w:docPartGallery w:val="Page Numbers (Top of Page)"/>
          <w:docPartUnique/>
        </w:docPartObj>
      </w:sdtPr>
      <w:sdtEndPr/>
      <w:sdtContent>
        <w:r w:rsidR="002252FD">
          <w:fldChar w:fldCharType="begin"/>
        </w:r>
        <w:r w:rsidR="002252FD">
          <w:instrText xml:space="preserve"> PAGE   \* MERGEFORMAT </w:instrText>
        </w:r>
        <w:r w:rsidR="002252FD">
          <w:fldChar w:fldCharType="separate"/>
        </w:r>
        <w:r w:rsidR="00384F07">
          <w:rPr>
            <w:noProof/>
          </w:rPr>
          <w:t>1</w:t>
        </w:r>
        <w:r w:rsidR="002252FD">
          <w:rPr>
            <w:noProof/>
          </w:rPr>
          <w:fldChar w:fldCharType="end"/>
        </w:r>
      </w:sdtContent>
    </w:sdt>
  </w:p>
  <w:p w:rsidR="000503FA" w:rsidRDefault="000503F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3FA" w:rsidRDefault="000503FA">
    <w:pPr>
      <w:pStyle w:val="Header"/>
      <w:jc w:val="right"/>
    </w:pPr>
    <w:r>
      <w:t>XXX</w:t>
    </w:r>
    <w:r>
      <w:tab/>
      <w:t xml:space="preserve"> </w:t>
    </w:r>
    <w:r>
      <w:tab/>
    </w:r>
    <w:sdt>
      <w:sdtPr>
        <w:id w:val="96255175"/>
        <w:docPartObj>
          <w:docPartGallery w:val="Page Numbers (Top of Page)"/>
          <w:docPartUnique/>
        </w:docPartObj>
      </w:sdtPr>
      <w:sdtEndPr/>
      <w:sdtContent>
        <w:r w:rsidR="002252FD">
          <w:fldChar w:fldCharType="begin"/>
        </w:r>
        <w:r w:rsidR="002252FD">
          <w:instrText xml:space="preserve"> PAGE   \* MERGEFORMAT </w:instrText>
        </w:r>
        <w:r w:rsidR="002252FD">
          <w:fldChar w:fldCharType="separate"/>
        </w:r>
        <w:r w:rsidR="00384F07">
          <w:rPr>
            <w:noProof/>
          </w:rPr>
          <w:t>2</w:t>
        </w:r>
        <w:r w:rsidR="002252FD">
          <w:rPr>
            <w:noProof/>
          </w:rPr>
          <w:fldChar w:fldCharType="end"/>
        </w:r>
      </w:sdtContent>
    </w:sdt>
  </w:p>
  <w:p w:rsidR="000503FA" w:rsidRDefault="000503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46798"/>
    <w:multiLevelType w:val="hybridMultilevel"/>
    <w:tmpl w:val="1BC25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8874C2"/>
    <w:multiLevelType w:val="hybridMultilevel"/>
    <w:tmpl w:val="BFC8E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370574"/>
    <w:multiLevelType w:val="hybridMultilevel"/>
    <w:tmpl w:val="C7AA4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0120EF"/>
    <w:multiLevelType w:val="hybridMultilevel"/>
    <w:tmpl w:val="44C81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50DF6"/>
    <w:rsid w:val="000503FA"/>
    <w:rsid w:val="00066DCA"/>
    <w:rsid w:val="00112EE7"/>
    <w:rsid w:val="00124E0F"/>
    <w:rsid w:val="00132E77"/>
    <w:rsid w:val="001755D6"/>
    <w:rsid w:val="00197BE3"/>
    <w:rsid w:val="001D7A9E"/>
    <w:rsid w:val="002025E2"/>
    <w:rsid w:val="002252FD"/>
    <w:rsid w:val="00247F0E"/>
    <w:rsid w:val="00261911"/>
    <w:rsid w:val="002636DE"/>
    <w:rsid w:val="00337AD2"/>
    <w:rsid w:val="003462B4"/>
    <w:rsid w:val="003749A0"/>
    <w:rsid w:val="00384F07"/>
    <w:rsid w:val="00387EAC"/>
    <w:rsid w:val="004760AE"/>
    <w:rsid w:val="004C2D04"/>
    <w:rsid w:val="004E5D96"/>
    <w:rsid w:val="005F0C37"/>
    <w:rsid w:val="0064301A"/>
    <w:rsid w:val="00665902"/>
    <w:rsid w:val="00681425"/>
    <w:rsid w:val="006C594F"/>
    <w:rsid w:val="006D1ABF"/>
    <w:rsid w:val="006F0270"/>
    <w:rsid w:val="007538E3"/>
    <w:rsid w:val="008834C3"/>
    <w:rsid w:val="009459DB"/>
    <w:rsid w:val="0098349E"/>
    <w:rsid w:val="00A7550F"/>
    <w:rsid w:val="00A95882"/>
    <w:rsid w:val="00AF0E7E"/>
    <w:rsid w:val="00B22B16"/>
    <w:rsid w:val="00B56D66"/>
    <w:rsid w:val="00B87F21"/>
    <w:rsid w:val="00C41BF2"/>
    <w:rsid w:val="00C506C6"/>
    <w:rsid w:val="00C5521F"/>
    <w:rsid w:val="00CE609F"/>
    <w:rsid w:val="00CF610E"/>
    <w:rsid w:val="00D50DF6"/>
    <w:rsid w:val="00D53BF7"/>
    <w:rsid w:val="00E51721"/>
    <w:rsid w:val="00ED51B1"/>
    <w:rsid w:val="00F23D33"/>
    <w:rsid w:val="00F40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E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0DF6"/>
    <w:pPr>
      <w:tabs>
        <w:tab w:val="center" w:pos="4680"/>
        <w:tab w:val="right" w:pos="9360"/>
      </w:tabs>
    </w:pPr>
  </w:style>
  <w:style w:type="character" w:customStyle="1" w:styleId="HeaderChar">
    <w:name w:val="Header Char"/>
    <w:basedOn w:val="DefaultParagraphFont"/>
    <w:link w:val="Header"/>
    <w:uiPriority w:val="99"/>
    <w:rsid w:val="00D50DF6"/>
  </w:style>
  <w:style w:type="paragraph" w:styleId="Footer">
    <w:name w:val="footer"/>
    <w:basedOn w:val="Normal"/>
    <w:link w:val="FooterChar"/>
    <w:uiPriority w:val="99"/>
    <w:semiHidden/>
    <w:unhideWhenUsed/>
    <w:rsid w:val="00D50DF6"/>
    <w:pPr>
      <w:tabs>
        <w:tab w:val="center" w:pos="4680"/>
        <w:tab w:val="right" w:pos="9360"/>
      </w:tabs>
    </w:pPr>
  </w:style>
  <w:style w:type="character" w:customStyle="1" w:styleId="FooterChar">
    <w:name w:val="Footer Char"/>
    <w:basedOn w:val="DefaultParagraphFont"/>
    <w:link w:val="Footer"/>
    <w:uiPriority w:val="99"/>
    <w:semiHidden/>
    <w:rsid w:val="00D50DF6"/>
  </w:style>
  <w:style w:type="paragraph" w:styleId="BalloonText">
    <w:name w:val="Balloon Text"/>
    <w:basedOn w:val="Normal"/>
    <w:link w:val="BalloonTextChar"/>
    <w:uiPriority w:val="99"/>
    <w:semiHidden/>
    <w:unhideWhenUsed/>
    <w:rsid w:val="00D50DF6"/>
    <w:rPr>
      <w:rFonts w:ascii="Tahoma" w:hAnsi="Tahoma" w:cs="Tahoma"/>
      <w:sz w:val="16"/>
      <w:szCs w:val="16"/>
    </w:rPr>
  </w:style>
  <w:style w:type="character" w:customStyle="1" w:styleId="BalloonTextChar">
    <w:name w:val="Balloon Text Char"/>
    <w:basedOn w:val="DefaultParagraphFont"/>
    <w:link w:val="BalloonText"/>
    <w:uiPriority w:val="99"/>
    <w:semiHidden/>
    <w:rsid w:val="00D50DF6"/>
    <w:rPr>
      <w:rFonts w:ascii="Tahoma" w:hAnsi="Tahoma" w:cs="Tahoma"/>
      <w:sz w:val="16"/>
      <w:szCs w:val="16"/>
    </w:rPr>
  </w:style>
  <w:style w:type="paragraph" w:styleId="ListParagraph">
    <w:name w:val="List Paragraph"/>
    <w:basedOn w:val="Normal"/>
    <w:uiPriority w:val="34"/>
    <w:qFormat/>
    <w:rsid w:val="00AF0E7E"/>
    <w:pPr>
      <w:ind w:left="720"/>
      <w:contextualSpacing/>
    </w:pPr>
  </w:style>
  <w:style w:type="character" w:styleId="Hyperlink">
    <w:name w:val="Hyperlink"/>
    <w:basedOn w:val="DefaultParagraphFont"/>
    <w:uiPriority w:val="99"/>
    <w:unhideWhenUsed/>
    <w:rsid w:val="00AF0E7E"/>
    <w:rPr>
      <w:color w:val="0000FF" w:themeColor="hyperlink"/>
      <w:u w:val="single"/>
    </w:rPr>
  </w:style>
  <w:style w:type="table" w:styleId="TableGrid">
    <w:name w:val="Table Grid"/>
    <w:basedOn w:val="TableNormal"/>
    <w:uiPriority w:val="59"/>
    <w:rsid w:val="00197B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1">
    <w:name w:val="Style-11"/>
    <w:uiPriority w:val="99"/>
    <w:rsid w:val="00384F07"/>
    <w:rPr>
      <w:rFonts w:eastAsia="Times New Roman" w:cs="Times New Roman"/>
      <w:sz w:val="20"/>
      <w:szCs w:val="20"/>
    </w:rPr>
  </w:style>
  <w:style w:type="paragraph" w:styleId="NoSpacing">
    <w:name w:val="No Spacing"/>
    <w:uiPriority w:val="1"/>
    <w:qFormat/>
    <w:rsid w:val="00384F07"/>
  </w:style>
  <w:style w:type="character" w:styleId="CommentReference">
    <w:name w:val="annotation reference"/>
    <w:basedOn w:val="DefaultParagraphFont"/>
    <w:uiPriority w:val="99"/>
    <w:semiHidden/>
    <w:unhideWhenUsed/>
    <w:rsid w:val="00384F07"/>
    <w:rPr>
      <w:sz w:val="16"/>
      <w:szCs w:val="16"/>
    </w:rPr>
  </w:style>
  <w:style w:type="paragraph" w:styleId="CommentText">
    <w:name w:val="annotation text"/>
    <w:basedOn w:val="Normal"/>
    <w:link w:val="CommentTextChar"/>
    <w:uiPriority w:val="99"/>
    <w:semiHidden/>
    <w:unhideWhenUsed/>
    <w:rsid w:val="00384F07"/>
    <w:rPr>
      <w:sz w:val="20"/>
      <w:szCs w:val="20"/>
    </w:rPr>
  </w:style>
  <w:style w:type="character" w:customStyle="1" w:styleId="CommentTextChar">
    <w:name w:val="Comment Text Char"/>
    <w:basedOn w:val="DefaultParagraphFont"/>
    <w:link w:val="CommentText"/>
    <w:uiPriority w:val="99"/>
    <w:semiHidden/>
    <w:rsid w:val="00384F07"/>
    <w:rPr>
      <w:sz w:val="20"/>
      <w:szCs w:val="20"/>
    </w:rPr>
  </w:style>
  <w:style w:type="paragraph" w:styleId="CommentSubject">
    <w:name w:val="annotation subject"/>
    <w:basedOn w:val="CommentText"/>
    <w:next w:val="CommentText"/>
    <w:link w:val="CommentSubjectChar"/>
    <w:uiPriority w:val="99"/>
    <w:semiHidden/>
    <w:unhideWhenUsed/>
    <w:rsid w:val="00384F07"/>
    <w:rPr>
      <w:b/>
      <w:bCs/>
    </w:rPr>
  </w:style>
  <w:style w:type="character" w:customStyle="1" w:styleId="CommentSubjectChar">
    <w:name w:val="Comment Subject Char"/>
    <w:basedOn w:val="CommentTextChar"/>
    <w:link w:val="CommentSubject"/>
    <w:uiPriority w:val="99"/>
    <w:semiHidden/>
    <w:rsid w:val="00384F0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ollegeboard.com/prod_downloads/about/news_info/cbsenior/yr2005/2005-college-bound-senior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E74DE-5F88-4127-B4B5-A98A4E10D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17</Pages>
  <Words>3303</Words>
  <Characters>18831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dc:creator>
  <cp:lastModifiedBy>Karen Nylund Gibson</cp:lastModifiedBy>
  <cp:revision>33</cp:revision>
  <dcterms:created xsi:type="dcterms:W3CDTF">2012-12-20T02:23:00Z</dcterms:created>
  <dcterms:modified xsi:type="dcterms:W3CDTF">2012-12-20T15:08:00Z</dcterms:modified>
</cp:coreProperties>
</file>