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jc w:val="center"/>
      </w:pPr>
      <w:r>
        <w:rPr>
          <w:b/>
          <w:color w:val="1E5A88"/>
          <w:sz w:val="22"/>
        </w:rPr>
        <w:t>WALLETAGENT (ORVILO) · EXECUTION EVIDENCE</w:t>
      </w:r>
    </w:p>
    <w:p>
      <w:pPr>
        <w:pStyle w:val="Title"/>
        <w:jc w:val="center"/>
      </w:pPr>
      <w:r>
        <w:t>WalletAgent (Orvilo)</w:t>
      </w:r>
    </w:p>
    <w:p>
      <w:pPr>
        <w:pStyle w:val="Subtitle"/>
        <w:jc w:val="center"/>
      </w:pPr>
      <w:r>
        <w:t>Execution Evidence Report</w:t>
      </w:r>
    </w:p>
    <w:p>
      <w:pPr>
        <w:jc w:val="center"/>
      </w:pPr>
      <w:r>
        <w:rPr>
          <w:color w:val="64748B"/>
          <w:sz w:val="21"/>
        </w:rPr>
        <w:t>Sandbox Verification of Policy Compiler, Guardrails, Approval Workflow, Conversational Assistant, and Revocation Behavior</w:t>
      </w:r>
    </w:p>
    <w:p>
      <w:pPr>
        <w:jc w:val="center"/>
      </w:pPr>
      <w:r>
        <w:rPr>
          <w:b/>
          <w:color w:val="15803D"/>
          <w:sz w:val="19"/>
        </w:rPr>
        <w:t>CLASSIFICATION: VERIFIED ON-CHAIN DEPLOYMENT &amp; SANDBOX EVIDENCE</w:t>
      </w:r>
    </w:p>
    <w:p>
      <w:pPr>
        <w:spacing w:after="280"/>
      </w:pPr>
    </w:p>
    <w:p>
      <w:pPr>
        <w:pStyle w:val="Heading2"/>
        <w:keepNext/>
      </w:pPr>
      <w:r>
        <w:t>Document Control &amp; System Metadata</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3120"/>
        <w:gridCol w:w="3120"/>
        <w:gridCol w:w="3120"/>
      </w:tblGrid>
      <w:tr>
        <w:trPr>
          <w:tblHeader w:val="true"/>
        </w:trPr>
        <w:tc>
          <w:tcPr>
            <w:tcW w:type="dxa" w:w="2160"/>
            <w:shd w:fill="17324D"/>
            <w:tcMar>
              <w:top w:w="120" w:type="dxa"/>
              <w:start w:w="120" w:type="dxa"/>
              <w:bottom w:w="120" w:type="dxa"/>
              <w:end w:w="120" w:type="dxa"/>
            </w:tcMar>
            <w:vAlign w:val="center"/>
          </w:tcPr>
          <w:p>
            <w:pPr>
              <w:spacing w:after="0" w:before="0"/>
            </w:pPr>
            <w:r>
              <w:rPr>
                <w:rFonts w:ascii="Aptos" w:hAnsi="Aptos"/>
                <w:b/>
                <w:color w:val="FFFFFF"/>
                <w:sz w:val="17"/>
              </w:rPr>
              <w:t>Parameter</w:t>
            </w:r>
          </w:p>
        </w:tc>
        <w:tc>
          <w:tcPr>
            <w:tcW w:type="dxa" w:w="3600"/>
            <w:shd w:fill="17324D"/>
            <w:tcMar>
              <w:top w:w="120" w:type="dxa"/>
              <w:start w:w="120" w:type="dxa"/>
              <w:bottom w:w="120" w:type="dxa"/>
              <w:end w:w="120" w:type="dxa"/>
            </w:tcMar>
            <w:vAlign w:val="center"/>
          </w:tcPr>
          <w:p>
            <w:pPr>
              <w:spacing w:after="0" w:before="0"/>
            </w:pPr>
            <w:r>
              <w:rPr>
                <w:rFonts w:ascii="Aptos" w:hAnsi="Aptos"/>
                <w:b/>
                <w:color w:val="FFFFFF"/>
                <w:sz w:val="17"/>
              </w:rPr>
              <w:t>Recorded Value</w:t>
            </w:r>
          </w:p>
        </w:tc>
        <w:tc>
          <w:tcPr>
            <w:tcW w:type="dxa" w:w="3600"/>
            <w:shd w:fill="17324D"/>
            <w:tcMar>
              <w:top w:w="120" w:type="dxa"/>
              <w:start w:w="120" w:type="dxa"/>
              <w:bottom w:w="120" w:type="dxa"/>
              <w:end w:w="120" w:type="dxa"/>
            </w:tcMar>
            <w:vAlign w:val="center"/>
          </w:tcPr>
          <w:p>
            <w:pPr>
              <w:spacing w:after="0" w:before="0"/>
            </w:pPr>
            <w:r>
              <w:rPr>
                <w:rFonts w:ascii="Aptos" w:hAnsi="Aptos"/>
                <w:b/>
                <w:color w:val="FFFFFF"/>
                <w:sz w:val="17"/>
              </w:rPr>
              <w:t>Notes</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Document Version</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1.2 (Live Base Sepolia Alignment)</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Synchronized with active main codebase</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Preparation Date</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20 October 2026</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FinTechathon 2026 (Topic F: Agent Wallet)</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Evidence Date</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2026-10-19 / 2026-10-20 (UTC)</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Live Base Sepolia + isolated sandbox execution</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Team / Project</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Orvilo / WalletAgent</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Autonomous On-Chain Policy Agent</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Repository</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https://github.com/immo2n/WalletAgent</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Active GitHub submission repository</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Branch</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main</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Production baseline</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Assessed Commit</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e993e37 (e993e37fb03162750c006552760bbccb195ec142)</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Merged CI, Docker, and Conversational Assistant</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Submission Category</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Live On-Chain (Base Sepolia) + Sandbox</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Contract 0xfCF10bE8546981b2645A7BAE6a5Efe41C08E3d6E</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Execution Environment</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Python 3.14 · Linux · Web3 EVM Simulator</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Base Sepolia (Chain ID: 84532) live RPC</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Automated Tests</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94 / 94 Passing (pytest tests/)</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Regression suite covering all 9 features (100% pass)</w:t>
            </w:r>
          </w:p>
        </w:tc>
      </w:tr>
    </w:tbl>
    <w:p>
      <w:pPr>
        <w:spacing w:before="40" w:after="80"/>
      </w:pPr>
    </w:p>
    <w:p>
      <w:pPr>
        <w:spacing w:before="100" w:after="160" w:line="276" w:lineRule="auto"/>
        <w:ind w:left="216" w:right="216"/>
        <w:shd w:fill="F0FDF4"/>
        <w:pBdr>
          <w:left w:val="single" w:sz="24" w:space="8" w:color="15803D"/>
        </w:pBdr>
      </w:pPr>
      <w:r>
        <w:rPr>
          <w:rFonts w:ascii="Aptos" w:hAnsi="Aptos"/>
          <w:b/>
          <w:color w:val="15803D"/>
          <w:sz w:val="20"/>
        </w:rPr>
        <w:t xml:space="preserve">Live On-Chain Verification Status. </w:t>
      </w:r>
      <w:r>
        <w:rPr>
          <w:rFonts w:ascii="Aptos" w:hAnsi="Aptos"/>
          <w:color w:val="334155"/>
          <w:sz w:val="19"/>
        </w:rPr>
        <w:t>PolicyWallet smart contract is deployed on Base Sepolia at 0xfCF10bE8546981b2645A7BAE6a5Efe41C08E3d6E. 5 genuine state-changing transactions were signed, submitted, and confirmed on Basescan, proving on-chain policy registration, emergency killswitch enforcement, unpause, and operator authorization.</w:t>
      </w:r>
    </w:p>
    <w:p>
      <w:r>
        <w:br w:type="page"/>
      </w:r>
    </w:p>
    <w:p>
      <w:pPr>
        <w:pStyle w:val="Heading1"/>
        <w:keepNext/>
      </w:pPr>
      <w:r>
        <w:t>Document Revision History</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2340"/>
        <w:gridCol w:w="2340"/>
        <w:gridCol w:w="2340"/>
        <w:gridCol w:w="2340"/>
      </w:tblGrid>
      <w:tr>
        <w:trPr>
          <w:tblHeader w:val="true"/>
        </w:trPr>
        <w:tc>
          <w:tcPr>
            <w:tcW w:type="dxa" w:w="1008"/>
            <w:shd w:fill="17324D"/>
            <w:tcMar>
              <w:top w:w="120" w:type="dxa"/>
              <w:start w:w="120" w:type="dxa"/>
              <w:bottom w:w="120" w:type="dxa"/>
              <w:end w:w="120" w:type="dxa"/>
            </w:tcMar>
            <w:vAlign w:val="center"/>
          </w:tcPr>
          <w:p>
            <w:pPr>
              <w:spacing w:after="0" w:before="0"/>
            </w:pPr>
            <w:r>
              <w:rPr>
                <w:rFonts w:ascii="Aptos" w:hAnsi="Aptos"/>
                <w:b/>
                <w:color w:val="FFFFFF"/>
                <w:sz w:val="17"/>
              </w:rPr>
              <w:t>Version</w:t>
            </w:r>
          </w:p>
        </w:tc>
        <w:tc>
          <w:tcPr>
            <w:tcW w:type="dxa" w:w="1440"/>
            <w:shd w:fill="17324D"/>
            <w:tcMar>
              <w:top w:w="120" w:type="dxa"/>
              <w:start w:w="120" w:type="dxa"/>
              <w:bottom w:w="120" w:type="dxa"/>
              <w:end w:w="120" w:type="dxa"/>
            </w:tcMar>
            <w:vAlign w:val="center"/>
          </w:tcPr>
          <w:p>
            <w:pPr>
              <w:spacing w:after="0" w:before="0"/>
            </w:pPr>
            <w:r>
              <w:rPr>
                <w:rFonts w:ascii="Aptos" w:hAnsi="Aptos"/>
                <w:b/>
                <w:color w:val="FFFFFF"/>
                <w:sz w:val="17"/>
              </w:rPr>
              <w:t>Date</w:t>
            </w:r>
          </w:p>
        </w:tc>
        <w:tc>
          <w:tcPr>
            <w:tcW w:type="dxa" w:w="5184"/>
            <w:shd w:fill="17324D"/>
            <w:tcMar>
              <w:top w:w="120" w:type="dxa"/>
              <w:start w:w="120" w:type="dxa"/>
              <w:bottom w:w="120" w:type="dxa"/>
              <w:end w:w="120" w:type="dxa"/>
            </w:tcMar>
            <w:vAlign w:val="center"/>
          </w:tcPr>
          <w:p>
            <w:pPr>
              <w:spacing w:after="0" w:before="0"/>
            </w:pPr>
            <w:r>
              <w:rPr>
                <w:rFonts w:ascii="Aptos" w:hAnsi="Aptos"/>
                <w:b/>
                <w:color w:val="FFFFFF"/>
                <w:sz w:val="17"/>
              </w:rPr>
              <w:t>Summary of Changes</w:t>
            </w:r>
          </w:p>
        </w:tc>
        <w:tc>
          <w:tcPr>
            <w:tcW w:type="dxa" w:w="1728"/>
            <w:shd w:fill="17324D"/>
            <w:tcMar>
              <w:top w:w="120" w:type="dxa"/>
              <w:start w:w="120" w:type="dxa"/>
              <w:bottom w:w="120" w:type="dxa"/>
              <w:end w:w="120" w:type="dxa"/>
            </w:tcMar>
            <w:vAlign w:val="center"/>
          </w:tcPr>
          <w:p>
            <w:pPr>
              <w:spacing w:after="0" w:before="0"/>
            </w:pPr>
            <w:r>
              <w:rPr>
                <w:rFonts w:ascii="Aptos" w:hAnsi="Aptos"/>
                <w:b/>
                <w:color w:val="FFFFFF"/>
                <w:sz w:val="17"/>
              </w:rPr>
              <w:t>Prepared By</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7"/>
              </w:rPr>
              <w:t>1.0</w:t>
            </w:r>
          </w:p>
        </w:tc>
        <w:tc>
          <w:tcPr>
            <w:tcW w:type="dxa" w:w="2340"/>
            <w:vAlign w:val="center"/>
            <w:tcMar>
              <w:top w:w="90" w:type="dxa"/>
              <w:start w:w="110" w:type="dxa"/>
              <w:bottom w:w="90" w:type="dxa"/>
              <w:end w:w="110" w:type="dxa"/>
            </w:tcMar>
          </w:tcPr>
          <w:p>
            <w:pPr>
              <w:spacing w:after="0" w:before="0"/>
            </w:pPr>
            <w:r>
              <w:rPr>
                <w:rFonts w:ascii="Aptos" w:hAnsi="Aptos"/>
                <w:color w:val="334155"/>
                <w:sz w:val="17"/>
              </w:rPr>
              <w:t>2026-10-19</w:t>
            </w:r>
          </w:p>
        </w:tc>
        <w:tc>
          <w:tcPr>
            <w:tcW w:type="dxa" w:w="2340"/>
            <w:vAlign w:val="center"/>
            <w:tcMar>
              <w:top w:w="90" w:type="dxa"/>
              <w:start w:w="110" w:type="dxa"/>
              <w:bottom w:w="90" w:type="dxa"/>
              <w:end w:w="110" w:type="dxa"/>
            </w:tcMar>
          </w:tcPr>
          <w:p>
            <w:pPr>
              <w:spacing w:after="0" w:before="0"/>
            </w:pPr>
            <w:r>
              <w:rPr>
                <w:rFonts w:ascii="Aptos" w:hAnsi="Aptos"/>
                <w:color w:val="334155"/>
                <w:sz w:val="17"/>
              </w:rPr>
              <w:t>Initial isolated sandbox run and repository review.</w:t>
            </w:r>
          </w:p>
        </w:tc>
        <w:tc>
          <w:tcPr>
            <w:tcW w:type="dxa" w:w="2340"/>
            <w:vAlign w:val="center"/>
            <w:tcMar>
              <w:top w:w="90" w:type="dxa"/>
              <w:start w:w="110" w:type="dxa"/>
              <w:bottom w:w="90" w:type="dxa"/>
              <w:end w:w="110" w:type="dxa"/>
            </w:tcMar>
          </w:tcPr>
          <w:p>
            <w:pPr>
              <w:spacing w:after="0" w:before="0"/>
            </w:pPr>
            <w:r>
              <w:rPr>
                <w:rFonts w:ascii="Aptos" w:hAnsi="Aptos"/>
                <w:color w:val="334155"/>
                <w:sz w:val="17"/>
              </w:rPr>
              <w:t>Orvilo Engineering</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7"/>
              </w:rPr>
              <w:t>1.1</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7"/>
              </w:rPr>
              <w:t>2026-10-20</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7"/>
              </w:rPr>
              <w:t>Full alignment with main: updated commit SHA, verified 94/94 pytest suite, added Conversational Assistant &amp; Anomaly Auditor documentation, updated video script timeline, and detailed symbolic inequality parser support.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7"/>
              </w:rPr>
              <w:t>Orvilo Engineering</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7"/>
              </w:rPr>
              <w:t>1.2</w:t>
            </w:r>
          </w:p>
        </w:tc>
        <w:tc>
          <w:tcPr>
            <w:tcW w:type="dxa" w:w="2340"/>
            <w:vAlign w:val="center"/>
            <w:tcMar>
              <w:top w:w="90" w:type="dxa"/>
              <w:start w:w="110" w:type="dxa"/>
              <w:bottom w:w="90" w:type="dxa"/>
              <w:end w:w="110" w:type="dxa"/>
            </w:tcMar>
          </w:tcPr>
          <w:p>
            <w:pPr>
              <w:spacing w:after="0" w:before="0"/>
            </w:pPr>
            <w:r>
              <w:rPr>
                <w:rFonts w:ascii="Aptos" w:hAnsi="Aptos"/>
                <w:color w:val="334155"/>
                <w:sz w:val="17"/>
              </w:rPr>
              <w:t>2026-10-20</w:t>
            </w:r>
          </w:p>
        </w:tc>
        <w:tc>
          <w:tcPr>
            <w:tcW w:type="dxa" w:w="2340"/>
            <w:vAlign w:val="center"/>
            <w:tcMar>
              <w:top w:w="90" w:type="dxa"/>
              <w:start w:w="110" w:type="dxa"/>
              <w:bottom w:w="90" w:type="dxa"/>
              <w:end w:w="110" w:type="dxa"/>
            </w:tcMar>
          </w:tcPr>
          <w:p>
            <w:pPr>
              <w:spacing w:after="0" w:before="0"/>
            </w:pPr>
            <w:r>
              <w:rPr>
                <w:rFonts w:ascii="Aptos" w:hAnsi="Aptos"/>
                <w:color w:val="334155"/>
                <w:sz w:val="17"/>
              </w:rPr>
              <w:t>Live Base Sepolia on-chain deployment and execution of 5 verified state-changing transactions. Added Section 6 on-chain transaction register with BaseScan explorer links.</w:t>
            </w:r>
          </w:p>
        </w:tc>
        <w:tc>
          <w:tcPr>
            <w:tcW w:type="dxa" w:w="2340"/>
            <w:vAlign w:val="center"/>
            <w:tcMar>
              <w:top w:w="90" w:type="dxa"/>
              <w:start w:w="110" w:type="dxa"/>
              <w:bottom w:w="90" w:type="dxa"/>
              <w:end w:w="110" w:type="dxa"/>
            </w:tcMar>
          </w:tcPr>
          <w:p>
            <w:pPr>
              <w:spacing w:after="0" w:before="0"/>
            </w:pPr>
            <w:r>
              <w:rPr>
                <w:rFonts w:ascii="Aptos" w:hAnsi="Aptos"/>
                <w:color w:val="334155"/>
                <w:sz w:val="17"/>
              </w:rPr>
              <w:t>Orvilo Engineering</w:t>
            </w:r>
          </w:p>
        </w:tc>
      </w:tr>
    </w:tbl>
    <w:p>
      <w:pPr>
        <w:spacing w:before="40" w:after="80"/>
      </w:pPr>
    </w:p>
    <w:p>
      <w:pPr>
        <w:pStyle w:val="Heading1"/>
        <w:keepNext/>
      </w:pPr>
      <w:r>
        <w:t>Table of Contents</w:t>
      </w:r>
    </w:p>
    <w:p>
      <w:pPr>
        <w:spacing w:after="240"/>
      </w:pPr>
      <w:r>
        <w:fldChar w:fldCharType="begin"/>
        <w:instrText xml:space="preserve">TOC \o "1-3" \h \z \u</w:instrText>
        <w:fldChar w:fldCharType="separate"/>
        <w:t>Right-click and choose Update Field to refresh this Table of Contents.</w:t>
        <w:fldChar w:fldCharType="end"/>
      </w:r>
    </w:p>
    <w:p>
      <w:r>
        <w:br w:type="page"/>
      </w:r>
    </w:p>
    <w:p>
      <w:pPr>
        <w:pStyle w:val="Heading1"/>
        <w:keepNext/>
      </w:pPr>
      <w:r>
        <w:t>1. Executive Summary</w:t>
      </w:r>
    </w:p>
    <w:p>
      <w:pPr>
        <w:spacing w:after="100" w:line="276" w:lineRule="auto"/>
      </w:pPr>
      <w:r>
        <w:rPr>
          <w:rFonts w:ascii="Aptos" w:hAnsi="Aptos"/>
          <w:color w:val="334155"/>
        </w:rPr>
        <w:t>This report documents the empirical behavior of the WalletAgent (Orvilo) software when its natural language policy compiler, Z3 formal verification gates, multi-stage approval workflow, cognitive conversational assistant, and smart contract guards are executed live on Base Sepolia and verified in an isolated sandbox environment.</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3120"/>
        <w:gridCol w:w="3120"/>
        <w:gridCol w:w="3120"/>
      </w:tblGrid>
      <w:tr>
        <w:trPr>
          <w:tblHeader w:val="true"/>
        </w:trPr>
        <w:tc>
          <w:tcPr>
            <w:tcW w:type="dxa" w:w="2592"/>
            <w:shd w:fill="17324D"/>
            <w:tcMar>
              <w:top w:w="120" w:type="dxa"/>
              <w:start w:w="120" w:type="dxa"/>
              <w:bottom w:w="120" w:type="dxa"/>
              <w:end w:w="120" w:type="dxa"/>
            </w:tcMar>
            <w:vAlign w:val="center"/>
          </w:tcPr>
          <w:p>
            <w:pPr>
              <w:spacing w:after="0" w:before="0"/>
            </w:pPr>
            <w:r>
              <w:rPr>
                <w:rFonts w:ascii="Aptos" w:hAnsi="Aptos"/>
                <w:b/>
                <w:color w:val="FFFFFF"/>
                <w:sz w:val="17"/>
              </w:rPr>
              <w:t>Metric Area</w:t>
            </w:r>
          </w:p>
        </w:tc>
        <w:tc>
          <w:tcPr>
            <w:tcW w:type="dxa" w:w="3168"/>
            <w:shd w:fill="17324D"/>
            <w:tcMar>
              <w:top w:w="120" w:type="dxa"/>
              <w:start w:w="120" w:type="dxa"/>
              <w:bottom w:w="120" w:type="dxa"/>
              <w:end w:w="120" w:type="dxa"/>
            </w:tcMar>
            <w:vAlign w:val="center"/>
          </w:tcPr>
          <w:p>
            <w:pPr>
              <w:spacing w:after="0" w:before="0"/>
            </w:pPr>
            <w:r>
              <w:rPr>
                <w:rFonts w:ascii="Aptos" w:hAnsi="Aptos"/>
                <w:b/>
                <w:color w:val="FFFFFF"/>
                <w:sz w:val="17"/>
              </w:rPr>
              <w:t>Sandbox / On-Chain Result</w:t>
            </w:r>
          </w:p>
        </w:tc>
        <w:tc>
          <w:tcPr>
            <w:tcW w:type="dxa" w:w="3600"/>
            <w:shd w:fill="17324D"/>
            <w:tcMar>
              <w:top w:w="120" w:type="dxa"/>
              <w:start w:w="120" w:type="dxa"/>
              <w:bottom w:w="120" w:type="dxa"/>
              <w:end w:w="120" w:type="dxa"/>
            </w:tcMar>
            <w:vAlign w:val="center"/>
          </w:tcPr>
          <w:p>
            <w:pPr>
              <w:spacing w:after="0" w:before="0"/>
            </w:pPr>
            <w:r>
              <w:rPr>
                <w:rFonts w:ascii="Aptos" w:hAnsi="Aptos"/>
                <w:b/>
                <w:color w:val="FFFFFF"/>
                <w:sz w:val="17"/>
              </w:rPr>
              <w:t>System Status</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Execution Scenarios</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7 Executed</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6 Passed, 1 Disclosed Gap (EE-06)</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On-Chain Broadcasts</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5 Genuine Transactions</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BaseScan Verified (Status: 1 / Success)</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Adversarial Attacks</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6/6 Reverted with Typed Errors</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100% Protection across tested vectors</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Workflow Lifecycle</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4 States (DRAFT -&gt; ACTIVE)</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Multi-stage human governance enforced</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Automated Test Suite</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94 / 94 Passed</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Zero regressions across 13 test files</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Conversational Co-Pilot</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LangChain + Mock LLM Active</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Real-time anomaly audit &amp; task explanation</w:t>
            </w:r>
          </w:p>
        </w:tc>
      </w:tr>
    </w:tbl>
    <w:p>
      <w:pPr>
        <w:spacing w:before="40" w:after="80"/>
      </w:pPr>
    </w:p>
    <w:p>
      <w:pPr>
        <w:pStyle w:val="Heading2"/>
        <w:keepNext/>
      </w:pPr>
      <w:r>
        <w:t>Key Findings</w:t>
      </w:r>
    </w:p>
    <w:p>
      <w:pPr>
        <w:pStyle w:val="ListBullet"/>
        <w:spacing w:after="50"/>
      </w:pPr>
      <w:r>
        <w:rPr>
          <w:rFonts w:ascii="Aptos" w:hAnsi="Aptos"/>
          <w:color w:val="334155"/>
        </w:rPr>
        <w:t>Local preflight guards accepted a compliant $200.00 transfer, while instantly rejecting a $700.00 trade (exceeding the $500.00 per-transaction cap), unwhitelisted destination addresses, and all calls while emergency paused (EE-01, EE-02, EE-03, EE-05).</w:t>
      </w:r>
    </w:p>
    <w:p>
      <w:pPr>
        <w:pStyle w:val="ListBullet"/>
        <w:spacing w:after="50"/>
      </w:pPr>
      <w:r>
        <w:rPr>
          <w:rFonts w:ascii="Aptos" w:hAnsi="Aptos"/>
          <w:color w:val="334155"/>
        </w:rPr>
        <w:t>Policies progress strictly through the 4-stage lifecycle: DRAFT -&gt; REVIEWED -&gt; DEPLOYABLE -&gt; ACTIVE (EE-04).</w:t>
      </w:r>
    </w:p>
    <w:p>
      <w:pPr>
        <w:pStyle w:val="ListBullet"/>
        <w:spacing w:after="50"/>
      </w:pPr>
      <w:r>
        <w:rPr>
          <w:rFonts w:ascii="Aptos" w:hAnsi="Aptos"/>
          <w:color w:val="334155"/>
        </w:rPr>
        <w:t>All 6 adversarial penetration vectors (unauthorized exfiltration, token drain, balance floor drain, daily limit breach, emergency pause bypass, and unauthorized operator) reverted with exact typed Solidity custom errors (EE-07).</w:t>
      </w:r>
    </w:p>
    <w:p>
      <w:pPr>
        <w:pStyle w:val="ListBullet"/>
        <w:spacing w:after="50"/>
      </w:pPr>
      <w:r>
        <w:rPr>
          <w:rFonts w:ascii="Aptos" w:hAnsi="Aptos"/>
          <w:color w:val="334155"/>
        </w:rPr>
        <w:t>The LangChain-integrated co-pilot (agent/assistant.py) successfully detects unapproved recipients, flags reserve floor drain attempts, and breaks down active task invariant constraints.</w:t>
      </w:r>
    </w:p>
    <w:p>
      <w:pPr>
        <w:pStyle w:val="ListBullet"/>
        <w:spacing w:after="50"/>
      </w:pPr>
      <w:r>
        <w:rPr>
          <w:rFonts w:ascii="Aptos" w:hAnsi="Aptos"/>
          <w:color w:val="334155"/>
        </w:rPr>
        <w:t>After operator revocation, the Python client's simulated execution method returned a synthetic confirmation because the sender address was selected without consulting the local revocation flag. This is documented as an open Python client gap (the Solidity contract enforceably gates onlyAuthorized).</w:t>
      </w:r>
    </w:p>
    <w:p>
      <w:pPr>
        <w:pStyle w:val="Heading1"/>
        <w:keepNext/>
      </w:pPr>
      <w:r>
        <w:t>2. System Architecture &amp; Component Roles</w:t>
      </w:r>
    </w:p>
    <w:p>
      <w:pPr>
        <w:spacing w:before="160" w:after="40"/>
        <w:jc w:val="center"/>
      </w:pPr>
      <w:r>
        <w:drawing>
          <wp:inline xmlns:a="http://schemas.openxmlformats.org/drawingml/2006/main" xmlns:pic="http://schemas.openxmlformats.org/drawingml/2006/picture">
            <wp:extent cx="5577840" cy="1724137"/>
            <wp:docPr id="1" name="Picture 1" descr="Figure 1. WalletAgent implementation context, dual-reader compiler, and external dependencies."/>
            <wp:cNvGraphicFramePr>
              <a:graphicFrameLocks noChangeAspect="1"/>
            </wp:cNvGraphicFramePr>
            <a:graphic>
              <a:graphicData uri="http://schemas.openxmlformats.org/drawingml/2006/picture">
                <pic:pic>
                  <pic:nvPicPr>
                    <pic:cNvPr id="0" name="system-context.png"/>
                    <pic:cNvPicPr/>
                  </pic:nvPicPr>
                  <pic:blipFill>
                    <a:blip r:embed="rId11"/>
                    <a:stretch>
                      <a:fillRect/>
                    </a:stretch>
                  </pic:blipFill>
                  <pic:spPr>
                    <a:xfrm>
                      <a:off x="0" y="0"/>
                      <a:ext cx="5577840" cy="1724137"/>
                    </a:xfrm>
                    <a:prstGeom prst="rect"/>
                  </pic:spPr>
                </pic:pic>
              </a:graphicData>
            </a:graphic>
          </wp:inline>
        </w:drawing>
      </w:r>
    </w:p>
    <w:p>
      <w:pPr>
        <w:pStyle w:val="Caption"/>
        <w:keepNext w:val="0"/>
        <w:spacing w:before="40" w:after="160"/>
        <w:jc w:val="center"/>
      </w:pPr>
      <w:r>
        <w:t>Figure 1. WalletAgent implementation context, dual-reader compiler, and external dependencies.</w:t>
      </w:r>
    </w:p>
    <w:p>
      <w:pPr>
        <w:spacing w:after="100" w:line="276" w:lineRule="auto"/>
      </w:pPr>
      <w:r>
        <w:rPr>
          <w:rFonts w:ascii="Aptos" w:hAnsi="Aptos"/>
          <w:color w:val="334155"/>
        </w:rPr>
        <w:t>The WalletAgent architecture decouples intent generation from execution security:</w:t>
      </w:r>
    </w:p>
    <w:p>
      <w:pPr>
        <w:pStyle w:val="ListBullet"/>
        <w:spacing w:after="50"/>
      </w:pPr>
      <w:r>
        <w:rPr>
          <w:rFonts w:ascii="Aptos" w:hAnsi="Aptos"/>
          <w:color w:val="334155"/>
        </w:rPr>
        <w:t>Natural language prompts are simultaneously processed by a deterministic rule-based grammar parser (spaCy) and an LLM reader.</w:t>
      </w:r>
    </w:p>
    <w:p>
      <w:pPr>
        <w:pStyle w:val="ListBullet"/>
        <w:spacing w:after="50"/>
      </w:pPr>
      <w:r>
        <w:rPr>
          <w:rFonts w:ascii="Aptos" w:hAnsi="Aptos"/>
          <w:color w:val="334155"/>
        </w:rPr>
        <w:t>The Z3 SMT solver mathematically checks semantic equivalence and proves that AST constraints do not violate safety floor invariants.</w:t>
      </w:r>
    </w:p>
    <w:p>
      <w:pPr>
        <w:pStyle w:val="ListBullet"/>
        <w:spacing w:after="50"/>
      </w:pPr>
      <w:r>
        <w:rPr>
          <w:rFonts w:ascii="Aptos" w:hAnsi="Aptos"/>
          <w:color w:val="334155"/>
        </w:rPr>
        <w:t>Proposals cannot be executed directly; they must pass through human review and approval before becoming deployable.</w:t>
      </w:r>
    </w:p>
    <w:p>
      <w:pPr>
        <w:pStyle w:val="ListBullet"/>
        <w:spacing w:after="50"/>
      </w:pPr>
      <w:r>
        <w:rPr>
          <w:rFonts w:ascii="Aptos" w:hAnsi="Aptos"/>
          <w:color w:val="334155"/>
        </w:rPr>
        <w:t>Evaluates market feeds and triggers preflight EVM simulation before any transaction is assembled.</w:t>
      </w:r>
    </w:p>
    <w:p>
      <w:pPr>
        <w:pStyle w:val="ListBullet"/>
        <w:spacing w:after="50"/>
      </w:pPr>
      <w:r>
        <w:rPr>
          <w:rFonts w:ascii="Aptos" w:hAnsi="Aptos"/>
          <w:color w:val="334155"/>
        </w:rPr>
        <w:t>Provides real-time conversational anomaly auditing and task explanation directly to the end user.</w:t>
      </w:r>
    </w:p>
    <w:p>
      <w:pPr>
        <w:pStyle w:val="Heading2"/>
        <w:keepNext/>
      </w:pPr>
      <w:r>
        <w:t>Component Status Register</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2340"/>
        <w:gridCol w:w="2340"/>
        <w:gridCol w:w="2340"/>
        <w:gridCol w:w="2340"/>
      </w:tblGrid>
      <w:tr>
        <w:trPr>
          <w:tblHeader w:val="true"/>
        </w:trPr>
        <w:tc>
          <w:tcPr>
            <w:tcW w:type="dxa" w:w="1872"/>
            <w:shd w:fill="17324D"/>
            <w:tcMar>
              <w:top w:w="120" w:type="dxa"/>
              <w:start w:w="120" w:type="dxa"/>
              <w:bottom w:w="120" w:type="dxa"/>
              <w:end w:w="120" w:type="dxa"/>
            </w:tcMar>
            <w:vAlign w:val="center"/>
          </w:tcPr>
          <w:p>
            <w:pPr>
              <w:spacing w:after="0" w:before="0"/>
            </w:pPr>
            <w:r>
              <w:rPr>
                <w:rFonts w:ascii="Aptos" w:hAnsi="Aptos"/>
                <w:b/>
                <w:color w:val="FFFFFF"/>
                <w:sz w:val="16"/>
              </w:rPr>
              <w:t>Component</w:t>
            </w:r>
          </w:p>
        </w:tc>
        <w:tc>
          <w:tcPr>
            <w:tcW w:type="dxa" w:w="2304"/>
            <w:shd w:fill="17324D"/>
            <w:tcMar>
              <w:top w:w="120" w:type="dxa"/>
              <w:start w:w="120" w:type="dxa"/>
              <w:bottom w:w="120" w:type="dxa"/>
              <w:end w:w="120" w:type="dxa"/>
            </w:tcMar>
            <w:vAlign w:val="center"/>
          </w:tcPr>
          <w:p>
            <w:pPr>
              <w:spacing w:after="0" w:before="0"/>
            </w:pPr>
            <w:r>
              <w:rPr>
                <w:rFonts w:ascii="Aptos" w:hAnsi="Aptos"/>
                <w:b/>
                <w:color w:val="FFFFFF"/>
                <w:sz w:val="16"/>
              </w:rPr>
              <w:t>Module Path</w:t>
            </w:r>
          </w:p>
        </w:tc>
        <w:tc>
          <w:tcPr>
            <w:tcW w:type="dxa" w:w="2016"/>
            <w:shd w:fill="17324D"/>
            <w:tcMar>
              <w:top w:w="120" w:type="dxa"/>
              <w:start w:w="120" w:type="dxa"/>
              <w:bottom w:w="120" w:type="dxa"/>
              <w:end w:w="120" w:type="dxa"/>
            </w:tcMar>
            <w:vAlign w:val="center"/>
          </w:tcPr>
          <w:p>
            <w:pPr>
              <w:spacing w:after="0" w:before="0"/>
            </w:pPr>
            <w:r>
              <w:rPr>
                <w:rFonts w:ascii="Aptos" w:hAnsi="Aptos"/>
                <w:b/>
                <w:color w:val="FFFFFF"/>
                <w:sz w:val="16"/>
              </w:rPr>
              <w:t>Execution Status</w:t>
            </w:r>
          </w:p>
        </w:tc>
        <w:tc>
          <w:tcPr>
            <w:tcW w:type="dxa" w:w="3168"/>
            <w:shd w:fill="17324D"/>
            <w:tcMar>
              <w:top w:w="120" w:type="dxa"/>
              <w:start w:w="120" w:type="dxa"/>
              <w:bottom w:w="120" w:type="dxa"/>
              <w:end w:w="120" w:type="dxa"/>
            </w:tcMar>
            <w:vAlign w:val="center"/>
          </w:tcPr>
          <w:p>
            <w:pPr>
              <w:spacing w:after="0" w:before="0"/>
            </w:pPr>
            <w:r>
              <w:rPr>
                <w:rFonts w:ascii="Aptos" w:hAnsi="Aptos"/>
                <w:b/>
                <w:color w:val="FFFFFF"/>
                <w:sz w:val="16"/>
              </w:rPr>
              <w:t>Sandbox Evidence Role</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Policy Compiler</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policy/loop.py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Executed in-memory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Proves AST equivalence via Z3 SMT solver.</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Rule Lexicon</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policy/readers/lexicon.py</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Executed in-memory</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Extracts triggers, caps, and symbolic inequalities.</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Workflow Manager</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policy/workflow.py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Executed in-memory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Validates multi-step human review state transitions.</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EVM Simulator</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contracts/simulator.py</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Executed (offline RPC)</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Verifies preflight bounds before state mutation.</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Wallet Client</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contracts/wallet_client.py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Executed locally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Tracks local security limits and pause flag.</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Attack Tester</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contracts/attack_tester.py</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Executed in-memory</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Validates 6/6 typed Solidity error reverts.</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Assistant Engine</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agent/assistant.py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Executed locally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Runs transaction anomaly auditing &amp; task explanations.</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Reference Contract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contracts/PolicyWallet.sol</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Source reviewed</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Canonical Solidity implementation for Base Sepolia.</w:t>
            </w:r>
          </w:p>
        </w:tc>
      </w:tr>
    </w:tbl>
    <w:p>
      <w:pPr>
        <w:spacing w:before="40" w:after="80"/>
      </w:pPr>
    </w:p>
    <w:p>
      <w:pPr>
        <w:pStyle w:val="Heading2"/>
        <w:keepNext/>
      </w:pPr>
      <w:r>
        <w:t>Accounts and Permission Tiers</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2340"/>
        <w:gridCol w:w="2340"/>
        <w:gridCol w:w="2340"/>
        <w:gridCol w:w="2340"/>
      </w:tblGrid>
      <w:tr>
        <w:trPr>
          <w:tblHeader w:val="true"/>
        </w:trPr>
        <w:tc>
          <w:tcPr>
            <w:tcW w:type="dxa" w:w="1872"/>
            <w:shd w:fill="17324D"/>
            <w:tcMar>
              <w:top w:w="120" w:type="dxa"/>
              <w:start w:w="120" w:type="dxa"/>
              <w:bottom w:w="120" w:type="dxa"/>
              <w:end w:w="120" w:type="dxa"/>
            </w:tcMar>
            <w:vAlign w:val="center"/>
          </w:tcPr>
          <w:p>
            <w:pPr>
              <w:spacing w:after="0" w:before="0"/>
            </w:pPr>
            <w:r>
              <w:rPr>
                <w:rFonts w:ascii="Aptos" w:hAnsi="Aptos"/>
                <w:b/>
                <w:color w:val="FFFFFF"/>
                <w:sz w:val="16"/>
              </w:rPr>
              <w:t>Public Identifier</w:t>
            </w:r>
          </w:p>
        </w:tc>
        <w:tc>
          <w:tcPr>
            <w:tcW w:type="dxa" w:w="2016"/>
            <w:shd w:fill="17324D"/>
            <w:tcMar>
              <w:top w:w="120" w:type="dxa"/>
              <w:start w:w="120" w:type="dxa"/>
              <w:bottom w:w="120" w:type="dxa"/>
              <w:end w:w="120" w:type="dxa"/>
            </w:tcMar>
            <w:vAlign w:val="center"/>
          </w:tcPr>
          <w:p>
            <w:pPr>
              <w:spacing w:after="0" w:before="0"/>
            </w:pPr>
            <w:r>
              <w:rPr>
                <w:rFonts w:ascii="Aptos" w:hAnsi="Aptos"/>
                <w:b/>
                <w:color w:val="FFFFFF"/>
                <w:sz w:val="16"/>
              </w:rPr>
              <w:t>Role / Tier</w:t>
            </w:r>
          </w:p>
        </w:tc>
        <w:tc>
          <w:tcPr>
            <w:tcW w:type="dxa" w:w="3744"/>
            <w:shd w:fill="17324D"/>
            <w:tcMar>
              <w:top w:w="120" w:type="dxa"/>
              <w:start w:w="120" w:type="dxa"/>
              <w:bottom w:w="120" w:type="dxa"/>
              <w:end w:w="120" w:type="dxa"/>
            </w:tcMar>
            <w:vAlign w:val="center"/>
          </w:tcPr>
          <w:p>
            <w:pPr>
              <w:spacing w:after="0" w:before="0"/>
            </w:pPr>
            <w:r>
              <w:rPr>
                <w:rFonts w:ascii="Aptos" w:hAnsi="Aptos"/>
                <w:b/>
                <w:color w:val="FFFFFF"/>
                <w:sz w:val="16"/>
              </w:rPr>
              <w:t>Observed Authority</w:t>
            </w:r>
          </w:p>
        </w:tc>
        <w:tc>
          <w:tcPr>
            <w:tcW w:type="dxa" w:w="1728"/>
            <w:shd w:fill="17324D"/>
            <w:tcMar>
              <w:top w:w="120" w:type="dxa"/>
              <w:start w:w="120" w:type="dxa"/>
              <w:bottom w:w="120" w:type="dxa"/>
              <w:end w:w="120" w:type="dxa"/>
            </w:tcMar>
            <w:vAlign w:val="center"/>
          </w:tcPr>
          <w:p>
            <w:pPr>
              <w:spacing w:after="0" w:before="0"/>
            </w:pPr>
            <w:r>
              <w:rPr>
                <w:rFonts w:ascii="Aptos" w:hAnsi="Aptos"/>
                <w:b/>
                <w:color w:val="FFFFFF"/>
                <w:sz w:val="16"/>
              </w:rPr>
              <w:t>Credential Handling</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0x71C8...039A</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Owner / Primary Sender</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Owner-equivalent in local defaults; owner-only in Solidity source.</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No private key stored or broadcast.</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0x2B5A...D6cF</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Autonomous Operator</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Local authorization flag revocable; Python execution gap identified.</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No private key stored or broadcast.</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0x89D2...0359</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Default Policy Wallet</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Destination contract label in local responses.</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Deployment and bytecode not verified on-chain.</w:t>
            </w:r>
          </w:p>
        </w:tc>
      </w:tr>
    </w:tbl>
    <w:p>
      <w:pPr>
        <w:spacing w:before="40" w:after="80"/>
      </w:pPr>
    </w:p>
    <w:p>
      <w:pPr>
        <w:pStyle w:val="Heading1"/>
        <w:keepNext/>
      </w:pPr>
      <w:r>
        <w:t>3. Execution Scenario Register (EE-01 to EE-07)</w:t>
      </w:r>
    </w:p>
    <w:p>
      <w:pPr>
        <w:spacing w:after="100" w:line="276" w:lineRule="auto"/>
      </w:pPr>
      <w:r>
        <w:rPr>
          <w:rFonts w:ascii="Aptos" w:hAnsi="Aptos"/>
          <w:color w:val="334155"/>
        </w:rPr>
        <w:t>All seven scenarios were executed using isolated in-memory stubbing to prevent state pollution:</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1560"/>
        <w:gridCol w:w="1560"/>
        <w:gridCol w:w="1560"/>
        <w:gridCol w:w="1560"/>
        <w:gridCol w:w="1560"/>
        <w:gridCol w:w="1560"/>
      </w:tblGrid>
      <w:tr>
        <w:trPr>
          <w:tblHeader w:val="true"/>
        </w:trPr>
        <w:tc>
          <w:tcPr>
            <w:tcW w:type="dxa" w:w="648"/>
            <w:shd w:fill="17324D"/>
            <w:tcMar>
              <w:top w:w="120" w:type="dxa"/>
              <w:start w:w="120" w:type="dxa"/>
              <w:bottom w:w="120" w:type="dxa"/>
              <w:end w:w="120" w:type="dxa"/>
            </w:tcMar>
            <w:vAlign w:val="center"/>
          </w:tcPr>
          <w:p>
            <w:pPr>
              <w:spacing w:after="0" w:before="0"/>
            </w:pPr>
            <w:r>
              <w:rPr>
                <w:rFonts w:ascii="Aptos" w:hAnsi="Aptos"/>
                <w:b/>
                <w:color w:val="FFFFFF"/>
                <w:sz w:val="15"/>
              </w:rPr>
              <w:t>ID</w:t>
            </w:r>
          </w:p>
        </w:tc>
        <w:tc>
          <w:tcPr>
            <w:tcW w:type="dxa" w:w="1944"/>
            <w:shd w:fill="17324D"/>
            <w:tcMar>
              <w:top w:w="120" w:type="dxa"/>
              <w:start w:w="120" w:type="dxa"/>
              <w:bottom w:w="120" w:type="dxa"/>
              <w:end w:w="120" w:type="dxa"/>
            </w:tcMar>
            <w:vAlign w:val="center"/>
          </w:tcPr>
          <w:p>
            <w:pPr>
              <w:spacing w:after="0" w:before="0"/>
            </w:pPr>
            <w:r>
              <w:rPr>
                <w:rFonts w:ascii="Aptos" w:hAnsi="Aptos"/>
                <w:b/>
                <w:color w:val="FFFFFF"/>
                <w:sz w:val="15"/>
              </w:rPr>
              <w:t>Evaluated Feature</w:t>
            </w:r>
          </w:p>
        </w:tc>
        <w:tc>
          <w:tcPr>
            <w:tcW w:type="dxa" w:w="2016"/>
            <w:shd w:fill="17324D"/>
            <w:tcMar>
              <w:top w:w="120" w:type="dxa"/>
              <w:start w:w="120" w:type="dxa"/>
              <w:bottom w:w="120" w:type="dxa"/>
              <w:end w:w="120" w:type="dxa"/>
            </w:tcMar>
            <w:vAlign w:val="center"/>
          </w:tcPr>
          <w:p>
            <w:pPr>
              <w:spacing w:after="0" w:before="0"/>
            </w:pPr>
            <w:r>
              <w:rPr>
                <w:rFonts w:ascii="Aptos" w:hAnsi="Aptos"/>
                <w:b/>
                <w:color w:val="FFFFFF"/>
                <w:sz w:val="15"/>
              </w:rPr>
              <w:t>Expected Result</w:t>
            </w:r>
          </w:p>
        </w:tc>
        <w:tc>
          <w:tcPr>
            <w:tcW w:type="dxa" w:w="2592"/>
            <w:shd w:fill="17324D"/>
            <w:tcMar>
              <w:top w:w="120" w:type="dxa"/>
              <w:start w:w="120" w:type="dxa"/>
              <w:bottom w:w="120" w:type="dxa"/>
              <w:end w:w="120" w:type="dxa"/>
            </w:tcMar>
            <w:vAlign w:val="center"/>
          </w:tcPr>
          <w:p>
            <w:pPr>
              <w:spacing w:after="0" w:before="0"/>
            </w:pPr>
            <w:r>
              <w:rPr>
                <w:rFonts w:ascii="Aptos" w:hAnsi="Aptos"/>
                <w:b/>
                <w:color w:val="FFFFFF"/>
                <w:sz w:val="15"/>
              </w:rPr>
              <w:t>Observed Behavior</w:t>
            </w:r>
          </w:p>
        </w:tc>
        <w:tc>
          <w:tcPr>
            <w:tcW w:type="dxa" w:w="936"/>
            <w:shd w:fill="17324D"/>
            <w:tcMar>
              <w:top w:w="120" w:type="dxa"/>
              <w:start w:w="120" w:type="dxa"/>
              <w:bottom w:w="120" w:type="dxa"/>
              <w:end w:w="120" w:type="dxa"/>
            </w:tcMar>
            <w:vAlign w:val="center"/>
          </w:tcPr>
          <w:p>
            <w:pPr>
              <w:spacing w:after="0" w:before="0"/>
            </w:pPr>
            <w:r>
              <w:rPr>
                <w:rFonts w:ascii="Aptos" w:hAnsi="Aptos"/>
                <w:b/>
                <w:color w:val="FFFFFF"/>
                <w:sz w:val="15"/>
              </w:rPr>
              <w:t>Outcome</w:t>
            </w:r>
          </w:p>
        </w:tc>
        <w:tc>
          <w:tcPr>
            <w:tcW w:type="dxa" w:w="1224"/>
            <w:shd w:fill="17324D"/>
            <w:tcMar>
              <w:top w:w="120" w:type="dxa"/>
              <w:start w:w="120" w:type="dxa"/>
              <w:bottom w:w="120" w:type="dxa"/>
              <w:end w:w="120" w:type="dxa"/>
            </w:tcMar>
            <w:vAlign w:val="center"/>
          </w:tcPr>
          <w:p>
            <w:pPr>
              <w:spacing w:after="0" w:before="0"/>
            </w:pPr>
            <w:r>
              <w:rPr>
                <w:rFonts w:ascii="Aptos" w:hAnsi="Aptos"/>
                <w:b/>
                <w:color w:val="FFFFFF"/>
                <w:sz w:val="15"/>
              </w:rPr>
              <w:t>Evidence ID</w:t>
            </w:r>
          </w:p>
        </w:tc>
      </w:tr>
      <w:tr>
        <w:tc>
          <w:tcPr>
            <w:tcW w:type="dxa" w:w="1560"/>
            <w:vAlign w:val="center"/>
            <w:tcMar>
              <w:top w:w="90" w:type="dxa"/>
              <w:start w:w="110" w:type="dxa"/>
              <w:bottom w:w="90" w:type="dxa"/>
              <w:end w:w="110" w:type="dxa"/>
            </w:tcMar>
          </w:tcPr>
          <w:p>
            <w:pPr>
              <w:spacing w:after="0" w:before="0"/>
            </w:pPr>
            <w:r>
              <w:rPr>
                <w:rFonts w:ascii="Aptos" w:hAnsi="Aptos"/>
                <w:color w:val="334155"/>
                <w:sz w:val="15"/>
              </w:rPr>
              <w:t>EE-01</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Authorized Guarded Operation</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SIMULATED_SUCCESS with no chain mutation</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SIMULATED_SUCCESS ($200 trade accepted, gas 84,500)</w:t>
            </w:r>
          </w:p>
        </w:tc>
        <w:tc>
          <w:tcPr>
            <w:tcW w:type="dxa" w:w="1560"/>
            <w:vAlign w:val="center"/>
            <w:tcMar>
              <w:top w:w="90" w:type="dxa"/>
              <w:start w:w="110" w:type="dxa"/>
              <w:bottom w:w="90" w:type="dxa"/>
              <w:end w:w="110" w:type="dxa"/>
            </w:tcMar>
            <w:shd w:fill="DCFCE7"/>
          </w:tcPr>
          <w:p>
            <w:pPr>
              <w:spacing w:after="0" w:before="0"/>
            </w:pPr>
            <w:r>
              <w:rPr>
                <w:rFonts w:ascii="Aptos" w:hAnsi="Aptos"/>
                <w:b/>
                <w:color w:val="15803D"/>
                <w:sz w:val="15"/>
              </w:rPr>
              <w:t>PASSED</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EV-LOG-01 [EE-01]</w:t>
            </w:r>
          </w:p>
        </w:tc>
      </w:tr>
      <w:tr>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EE-02</w:t>
            </w:r>
          </w:p>
        </w:tc>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Spending Limit Rejection</w:t>
            </w:r>
          </w:p>
        </w:tc>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Revert on single-tx cap breach</w:t>
            </w:r>
          </w:p>
        </w:tc>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SIMULATED_REVERT: ExceedsPerTxCap(700.0, 500.0)</w:t>
            </w:r>
          </w:p>
        </w:tc>
        <w:tc>
          <w:tcPr>
            <w:tcW w:type="dxa" w:w="1560"/>
            <w:vAlign w:val="center"/>
            <w:tcMar>
              <w:top w:w="90" w:type="dxa"/>
              <w:start w:w="110" w:type="dxa"/>
              <w:bottom w:w="90" w:type="dxa"/>
              <w:end w:w="110" w:type="dxa"/>
            </w:tcMar>
            <w:shd w:fill="DCFCE7"/>
          </w:tcPr>
          <w:p>
            <w:pPr>
              <w:spacing w:after="0" w:before="0"/>
            </w:pPr>
            <w:r>
              <w:rPr>
                <w:rFonts w:ascii="Aptos" w:hAnsi="Aptos"/>
                <w:b/>
                <w:color w:val="15803D"/>
                <w:sz w:val="15"/>
              </w:rPr>
              <w:t>PASSED</w:t>
            </w:r>
          </w:p>
        </w:tc>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EV-LOG-01 [EE-02]</w:t>
            </w:r>
          </w:p>
        </w:tc>
      </w:tr>
      <w:tr>
        <w:tc>
          <w:tcPr>
            <w:tcW w:type="dxa" w:w="1560"/>
            <w:vAlign w:val="center"/>
            <w:tcMar>
              <w:top w:w="90" w:type="dxa"/>
              <w:start w:w="110" w:type="dxa"/>
              <w:bottom w:w="90" w:type="dxa"/>
              <w:end w:w="110" w:type="dxa"/>
            </w:tcMar>
          </w:tcPr>
          <w:p>
            <w:pPr>
              <w:spacing w:after="0" w:before="0"/>
            </w:pPr>
            <w:r>
              <w:rPr>
                <w:rFonts w:ascii="Aptos" w:hAnsi="Aptos"/>
                <w:color w:val="334155"/>
                <w:sz w:val="15"/>
              </w:rPr>
              <w:t>EE-03</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Restricted Destination Rejection</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Revert on non-allowlisted recipient</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SIMULATED_REVERT: RecipientNotAllowed(0x9999...)</w:t>
            </w:r>
          </w:p>
        </w:tc>
        <w:tc>
          <w:tcPr>
            <w:tcW w:type="dxa" w:w="1560"/>
            <w:vAlign w:val="center"/>
            <w:tcMar>
              <w:top w:w="90" w:type="dxa"/>
              <w:start w:w="110" w:type="dxa"/>
              <w:bottom w:w="90" w:type="dxa"/>
              <w:end w:w="110" w:type="dxa"/>
            </w:tcMar>
            <w:shd w:fill="DCFCE7"/>
          </w:tcPr>
          <w:p>
            <w:pPr>
              <w:spacing w:after="0" w:before="0"/>
            </w:pPr>
            <w:r>
              <w:rPr>
                <w:rFonts w:ascii="Aptos" w:hAnsi="Aptos"/>
                <w:b/>
                <w:color w:val="15803D"/>
                <w:sz w:val="15"/>
              </w:rPr>
              <w:t>PASSED</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EV-LOG-01 [EE-03]</w:t>
            </w:r>
          </w:p>
        </w:tc>
      </w:tr>
      <w:tr>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EE-04</w:t>
            </w:r>
          </w:p>
        </w:tc>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Policy Review &amp; Approval Stepper</w:t>
            </w:r>
          </w:p>
        </w:tc>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Enforce DRAFT -&gt; ACTIVE transitions</w:t>
            </w:r>
          </w:p>
        </w:tc>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States: DRAFT -&gt; REVIEWED -&gt; DEPLOYABLE -&gt; ACTIVE</w:t>
            </w:r>
          </w:p>
        </w:tc>
        <w:tc>
          <w:tcPr>
            <w:tcW w:type="dxa" w:w="1560"/>
            <w:vAlign w:val="center"/>
            <w:tcMar>
              <w:top w:w="90" w:type="dxa"/>
              <w:start w:w="110" w:type="dxa"/>
              <w:bottom w:w="90" w:type="dxa"/>
              <w:end w:w="110" w:type="dxa"/>
            </w:tcMar>
            <w:shd w:fill="DCFCE7"/>
          </w:tcPr>
          <w:p>
            <w:pPr>
              <w:spacing w:after="0" w:before="0"/>
            </w:pPr>
            <w:r>
              <w:rPr>
                <w:rFonts w:ascii="Aptos" w:hAnsi="Aptos"/>
                <w:b/>
                <w:color w:val="15803D"/>
                <w:sz w:val="15"/>
              </w:rPr>
              <w:t>PASSED</w:t>
            </w:r>
          </w:p>
        </w:tc>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EV-LOG-01 [EE-04]</w:t>
            </w:r>
          </w:p>
        </w:tc>
      </w:tr>
      <w:tr>
        <w:tc>
          <w:tcPr>
            <w:tcW w:type="dxa" w:w="1560"/>
            <w:vAlign w:val="center"/>
            <w:tcMar>
              <w:top w:w="90" w:type="dxa"/>
              <w:start w:w="110" w:type="dxa"/>
              <w:bottom w:w="90" w:type="dxa"/>
              <w:end w:w="110" w:type="dxa"/>
            </w:tcMar>
          </w:tcPr>
          <w:p>
            <w:pPr>
              <w:spacing w:after="0" w:before="0"/>
            </w:pPr>
            <w:r>
              <w:rPr>
                <w:rFonts w:ascii="Aptos" w:hAnsi="Aptos"/>
                <w:color w:val="334155"/>
                <w:sz w:val="15"/>
              </w:rPr>
              <w:t>EE-05</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Emergency Pause Rejection</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Revert all calls when paused</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SIMULATED_REVERT: WalletPaused()</w:t>
            </w:r>
          </w:p>
        </w:tc>
        <w:tc>
          <w:tcPr>
            <w:tcW w:type="dxa" w:w="1560"/>
            <w:vAlign w:val="center"/>
            <w:tcMar>
              <w:top w:w="90" w:type="dxa"/>
              <w:start w:w="110" w:type="dxa"/>
              <w:bottom w:w="90" w:type="dxa"/>
              <w:end w:w="110" w:type="dxa"/>
            </w:tcMar>
            <w:shd w:fill="DCFCE7"/>
          </w:tcPr>
          <w:p>
            <w:pPr>
              <w:spacing w:after="0" w:before="0"/>
            </w:pPr>
            <w:r>
              <w:rPr>
                <w:rFonts w:ascii="Aptos" w:hAnsi="Aptos"/>
                <w:b/>
                <w:color w:val="15803D"/>
                <w:sz w:val="15"/>
              </w:rPr>
              <w:t>PASSED</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EV-LOG-01 [EE-05]</w:t>
            </w:r>
          </w:p>
        </w:tc>
      </w:tr>
      <w:tr>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EE-06</w:t>
            </w:r>
          </w:p>
        </w:tc>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Operation After Revocation</w:t>
            </w:r>
          </w:p>
        </w:tc>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Reject execution for revoked operator</w:t>
            </w:r>
          </w:p>
        </w:tc>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Local client executed without checking revocation flag</w:t>
            </w:r>
          </w:p>
        </w:tc>
        <w:tc>
          <w:tcPr>
            <w:tcW w:type="dxa" w:w="1560"/>
            <w:vAlign w:val="center"/>
            <w:tcMar>
              <w:top w:w="90" w:type="dxa"/>
              <w:start w:w="110" w:type="dxa"/>
              <w:bottom w:w="90" w:type="dxa"/>
              <w:end w:w="110" w:type="dxa"/>
            </w:tcMar>
            <w:shd w:fill="FEE2E2"/>
          </w:tcPr>
          <w:p>
            <w:pPr>
              <w:spacing w:after="0" w:before="0"/>
            </w:pPr>
            <w:r>
              <w:rPr>
                <w:rFonts w:ascii="Aptos" w:hAnsi="Aptos"/>
                <w:b/>
                <w:color w:val="991B1B"/>
                <w:sz w:val="15"/>
              </w:rPr>
              <w:t>FAILED</w:t>
            </w:r>
          </w:p>
        </w:tc>
        <w:tc>
          <w:tcPr>
            <w:tcW w:type="dxa" w:w="1560"/>
            <w:vAlign w:val="center"/>
            <w:tcMar>
              <w:top w:w="90" w:type="dxa"/>
              <w:start w:w="110" w:type="dxa"/>
              <w:bottom w:w="90" w:type="dxa"/>
              <w:end w:w="110" w:type="dxa"/>
            </w:tcMar>
            <w:shd w:fill="F8FAFC"/>
          </w:tcPr>
          <w:p>
            <w:pPr>
              <w:spacing w:after="0" w:before="0"/>
            </w:pPr>
            <w:r>
              <w:rPr>
                <w:rFonts w:ascii="Aptos" w:hAnsi="Aptos"/>
                <w:color w:val="334155"/>
                <w:sz w:val="15"/>
              </w:rPr>
              <w:t>EV-LOG-01 [EE-06]</w:t>
            </w:r>
          </w:p>
        </w:tc>
      </w:tr>
      <w:tr>
        <w:tc>
          <w:tcPr>
            <w:tcW w:type="dxa" w:w="1560"/>
            <w:vAlign w:val="center"/>
            <w:tcMar>
              <w:top w:w="90" w:type="dxa"/>
              <w:start w:w="110" w:type="dxa"/>
              <w:bottom w:w="90" w:type="dxa"/>
              <w:end w:w="110" w:type="dxa"/>
            </w:tcMar>
          </w:tcPr>
          <w:p>
            <w:pPr>
              <w:spacing w:after="0" w:before="0"/>
            </w:pPr>
            <w:r>
              <w:rPr>
                <w:rFonts w:ascii="Aptos" w:hAnsi="Aptos"/>
                <w:color w:val="334155"/>
                <w:sz w:val="15"/>
              </w:rPr>
              <w:t>EE-07</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Adversarial Attack Suite (6/6)</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Revert all 6 attack vectors with errors</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6/6 Reverted with exact Solidity custom errors</w:t>
            </w:r>
          </w:p>
        </w:tc>
        <w:tc>
          <w:tcPr>
            <w:tcW w:type="dxa" w:w="1560"/>
            <w:vAlign w:val="center"/>
            <w:tcMar>
              <w:top w:w="90" w:type="dxa"/>
              <w:start w:w="110" w:type="dxa"/>
              <w:bottom w:w="90" w:type="dxa"/>
              <w:end w:w="110" w:type="dxa"/>
            </w:tcMar>
            <w:shd w:fill="DCFCE7"/>
          </w:tcPr>
          <w:p>
            <w:pPr>
              <w:spacing w:after="0" w:before="0"/>
            </w:pPr>
            <w:r>
              <w:rPr>
                <w:rFonts w:ascii="Aptos" w:hAnsi="Aptos"/>
                <w:b/>
                <w:color w:val="15803D"/>
                <w:sz w:val="15"/>
              </w:rPr>
              <w:t>PASSED</w:t>
            </w:r>
          </w:p>
        </w:tc>
        <w:tc>
          <w:tcPr>
            <w:tcW w:type="dxa" w:w="1560"/>
            <w:vAlign w:val="center"/>
            <w:tcMar>
              <w:top w:w="90" w:type="dxa"/>
              <w:start w:w="110" w:type="dxa"/>
              <w:bottom w:w="90" w:type="dxa"/>
              <w:end w:w="110" w:type="dxa"/>
            </w:tcMar>
          </w:tcPr>
          <w:p>
            <w:pPr>
              <w:spacing w:after="0" w:before="0"/>
            </w:pPr>
            <w:r>
              <w:rPr>
                <w:rFonts w:ascii="Aptos" w:hAnsi="Aptos"/>
                <w:color w:val="334155"/>
                <w:sz w:val="15"/>
              </w:rPr>
              <w:t>EV-LOG-01 [EE-07]</w:t>
            </w:r>
          </w:p>
        </w:tc>
      </w:tr>
    </w:tbl>
    <w:p>
      <w:pPr>
        <w:spacing w:before="40" w:after="80"/>
      </w:pPr>
    </w:p>
    <w:p>
      <w:pPr>
        <w:spacing w:after="100" w:line="276" w:lineRule="auto"/>
      </w:pPr>
      <w:r>
        <w:rPr>
          <w:rFonts w:ascii="Aptos" w:hAnsi="Aptos"/>
          <w:color w:val="334155"/>
        </w:rPr>
        <w:t>Not executed in this automated suite: expired/reused approval rejection and concurrent aggregate-limit behavior. The Python implementation does not bind approval signatures to cryptographic deadlines, and concurrency tests were excluded from this isolated single-threaded runner.</w:t>
      </w:r>
    </w:p>
    <w:p>
      <w:pPr>
        <w:pStyle w:val="Heading1"/>
        <w:keepNext/>
      </w:pPr>
      <w:r>
        <w:t>4. Detailed Execution Records</w:t>
      </w:r>
    </w:p>
    <w:p>
      <w:pPr>
        <w:pStyle w:val="Heading2"/>
        <w:keepNext/>
      </w:pPr>
      <w:r>
        <w:t>EE-01 · Authorized Guarded Operation</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80"/>
        <w:gridCol w:w="4680"/>
      </w:tblGrid>
      <w:tr>
        <w:trPr>
          <w:tblHeader w:val="true"/>
        </w:trPr>
        <w:tc>
          <w:tcPr>
            <w:tcW w:type="dxa" w:w="2160"/>
            <w:shd w:fill="17324D"/>
            <w:tcMar>
              <w:top w:w="120" w:type="dxa"/>
              <w:start w:w="120" w:type="dxa"/>
              <w:bottom w:w="120" w:type="dxa"/>
              <w:end w:w="120" w:type="dxa"/>
            </w:tcMar>
            <w:vAlign w:val="center"/>
          </w:tcPr>
          <w:p>
            <w:pPr>
              <w:spacing w:after="0" w:before="0"/>
            </w:pPr>
            <w:r>
              <w:rPr>
                <w:rFonts w:ascii="Aptos" w:hAnsi="Aptos"/>
                <w:b/>
                <w:color w:val="FFFFFF"/>
                <w:sz w:val="16"/>
              </w:rPr>
              <w:t>Record Item</w:t>
            </w:r>
          </w:p>
        </w:tc>
        <w:tc>
          <w:tcPr>
            <w:tcW w:type="dxa" w:w="7200"/>
            <w:shd w:fill="17324D"/>
            <w:tcMar>
              <w:top w:w="120" w:type="dxa"/>
              <w:start w:w="120" w:type="dxa"/>
              <w:bottom w:w="120" w:type="dxa"/>
              <w:end w:w="120" w:type="dxa"/>
            </w:tcMar>
            <w:vAlign w:val="center"/>
          </w:tcPr>
          <w:p>
            <w:pPr>
              <w:spacing w:after="0" w:before="0"/>
            </w:pPr>
            <w:r>
              <w:rPr>
                <w:rFonts w:ascii="Aptos" w:hAnsi="Aptos"/>
                <w:b/>
                <w:color w:val="FFFFFF"/>
                <w:sz w:val="16"/>
              </w:rPr>
              <w:t>Evidence Detail</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Feature Evaluated</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Authorized Guarded Operation</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Objective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Verify that an operation conforming to all policy constraints succeeds in simulation without modifying live chain state.</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Starting State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{"balance_after_usd": 1500.0, "spent_today_usd": 0.0}</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Inputs &amp; Actions</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Trade: $200.00 ETH | Recipient: 0x71C8366420A096207E90B01D252431792349039A | Cap: $500.00 | Floor: $500.00</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Policy / Approval Checks</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Verified: amount &lt;= per_tx_cap, spent + amount &lt;= daily_cap, recipient in allowed_recipients, not paused.</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Observed Response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SIMULATED_SUCCESS (Gas estimated: 84,500; Projected delta: -$200.00 ETH; chain_mutated: false)</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Resulting State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{"balance_after_usd": 1300.0, "spent_today_usd": 0.0 (simulated)}</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Outcome</w:t>
            </w:r>
          </w:p>
        </w:tc>
        <w:tc>
          <w:tcPr>
            <w:tcW w:type="dxa" w:w="4680"/>
            <w:vAlign w:val="center"/>
            <w:tcMar>
              <w:top w:w="90" w:type="dxa"/>
              <w:start w:w="110" w:type="dxa"/>
              <w:bottom w:w="90" w:type="dxa"/>
              <w:end w:w="110" w:type="dxa"/>
            </w:tcMar>
            <w:shd w:fill="DCFCE7"/>
          </w:tcPr>
          <w:p>
            <w:pPr>
              <w:spacing w:after="0" w:before="0"/>
            </w:pPr>
            <w:r>
              <w:rPr>
                <w:rFonts w:ascii="Aptos" w:hAnsi="Aptos"/>
                <w:b/>
                <w:color w:val="15803D"/>
                <w:sz w:val="16"/>
              </w:rPr>
              <w:t>PASSED</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Evidence Reference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EV-LOG-01, scenarios[EE-01]</w:t>
            </w:r>
          </w:p>
        </w:tc>
      </w:tr>
    </w:tbl>
    <w:p>
      <w:pPr>
        <w:spacing w:before="40" w:after="80"/>
      </w:pPr>
    </w:p>
    <w:p>
      <w:pPr>
        <w:pStyle w:val="Heading2"/>
        <w:keepNext/>
      </w:pPr>
      <w:r>
        <w:t>EE-02 · Per-Transaction Spending Limit Rejection</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80"/>
        <w:gridCol w:w="4680"/>
      </w:tblGrid>
      <w:tr>
        <w:trPr>
          <w:tblHeader w:val="true"/>
        </w:trPr>
        <w:tc>
          <w:tcPr>
            <w:tcW w:type="dxa" w:w="2160"/>
            <w:shd w:fill="17324D"/>
            <w:tcMar>
              <w:top w:w="120" w:type="dxa"/>
              <w:start w:w="120" w:type="dxa"/>
              <w:bottom w:w="120" w:type="dxa"/>
              <w:end w:w="120" w:type="dxa"/>
            </w:tcMar>
            <w:vAlign w:val="center"/>
          </w:tcPr>
          <w:p>
            <w:pPr>
              <w:spacing w:after="0" w:before="0"/>
            </w:pPr>
            <w:r>
              <w:rPr>
                <w:rFonts w:ascii="Aptos" w:hAnsi="Aptos"/>
                <w:b/>
                <w:color w:val="FFFFFF"/>
                <w:sz w:val="16"/>
              </w:rPr>
              <w:t>Record Item</w:t>
            </w:r>
          </w:p>
        </w:tc>
        <w:tc>
          <w:tcPr>
            <w:tcW w:type="dxa" w:w="7200"/>
            <w:shd w:fill="17324D"/>
            <w:tcMar>
              <w:top w:w="120" w:type="dxa"/>
              <w:start w:w="120" w:type="dxa"/>
              <w:bottom w:w="120" w:type="dxa"/>
              <w:end w:w="120" w:type="dxa"/>
            </w:tcMar>
            <w:vAlign w:val="center"/>
          </w:tcPr>
          <w:p>
            <w:pPr>
              <w:spacing w:after="0" w:before="0"/>
            </w:pPr>
            <w:r>
              <w:rPr>
                <w:rFonts w:ascii="Aptos" w:hAnsi="Aptos"/>
                <w:b/>
                <w:color w:val="FFFFFF"/>
                <w:sz w:val="16"/>
              </w:rPr>
              <w:t>Evidence Detail</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Feature Evaluated</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Per-Transaction Spending Limit Rejection</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Objective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Verify that an operation exceeding the configured single-trade cap is rejected prior to execution.</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Starting State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No mutations; fresh sandbox instance.</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Inputs &amp; Actions</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Trade: $700.00 ETH (attempted) vs. $500.00 per-transaction cap.</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Policy / Approval Checks</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EVM simulator check: amount &lt;= per_tx_cap evaluates to FALSE.</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Observed Response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SIMULATED_REVERT: ExceedsPerTxCap(amount=700.0, cap=500.0)</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Resulting State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No balance mutation; zero state changes applied.</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Outcome</w:t>
            </w:r>
          </w:p>
        </w:tc>
        <w:tc>
          <w:tcPr>
            <w:tcW w:type="dxa" w:w="4680"/>
            <w:vAlign w:val="center"/>
            <w:tcMar>
              <w:top w:w="90" w:type="dxa"/>
              <w:start w:w="110" w:type="dxa"/>
              <w:bottom w:w="90" w:type="dxa"/>
              <w:end w:w="110" w:type="dxa"/>
            </w:tcMar>
            <w:shd w:fill="DCFCE7"/>
          </w:tcPr>
          <w:p>
            <w:pPr>
              <w:spacing w:after="0" w:before="0"/>
            </w:pPr>
            <w:r>
              <w:rPr>
                <w:rFonts w:ascii="Aptos" w:hAnsi="Aptos"/>
                <w:b/>
                <w:color w:val="15803D"/>
                <w:sz w:val="16"/>
              </w:rPr>
              <w:t>PASSED</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Evidence Reference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EV-LOG-01, scenarios[EE-02]</w:t>
            </w:r>
          </w:p>
        </w:tc>
      </w:tr>
    </w:tbl>
    <w:p>
      <w:pPr>
        <w:spacing w:before="40" w:after="80"/>
      </w:pPr>
    </w:p>
    <w:p>
      <w:pPr>
        <w:pStyle w:val="Heading2"/>
        <w:keepNext/>
      </w:pPr>
      <w:r>
        <w:t>EE-03 · Restricted Destination Rejection</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80"/>
        <w:gridCol w:w="4680"/>
      </w:tblGrid>
      <w:tr>
        <w:trPr>
          <w:tblHeader w:val="true"/>
        </w:trPr>
        <w:tc>
          <w:tcPr>
            <w:tcW w:type="dxa" w:w="2160"/>
            <w:shd w:fill="17324D"/>
            <w:tcMar>
              <w:top w:w="120" w:type="dxa"/>
              <w:start w:w="120" w:type="dxa"/>
              <w:bottom w:w="120" w:type="dxa"/>
              <w:end w:w="120" w:type="dxa"/>
            </w:tcMar>
            <w:vAlign w:val="center"/>
          </w:tcPr>
          <w:p>
            <w:pPr>
              <w:spacing w:after="0" w:before="0"/>
            </w:pPr>
            <w:r>
              <w:rPr>
                <w:rFonts w:ascii="Aptos" w:hAnsi="Aptos"/>
                <w:b/>
                <w:color w:val="FFFFFF"/>
                <w:sz w:val="16"/>
              </w:rPr>
              <w:t>Record Item</w:t>
            </w:r>
          </w:p>
        </w:tc>
        <w:tc>
          <w:tcPr>
            <w:tcW w:type="dxa" w:w="7200"/>
            <w:shd w:fill="17324D"/>
            <w:tcMar>
              <w:top w:w="120" w:type="dxa"/>
              <w:start w:w="120" w:type="dxa"/>
              <w:bottom w:w="120" w:type="dxa"/>
              <w:end w:w="120" w:type="dxa"/>
            </w:tcMar>
            <w:vAlign w:val="center"/>
          </w:tcPr>
          <w:p>
            <w:pPr>
              <w:spacing w:after="0" w:before="0"/>
            </w:pPr>
            <w:r>
              <w:rPr>
                <w:rFonts w:ascii="Aptos" w:hAnsi="Aptos"/>
                <w:b/>
                <w:color w:val="FFFFFF"/>
                <w:sz w:val="16"/>
              </w:rPr>
              <w:t>Evidence Detail</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Feature Evaluated</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Restricted Destination Rejection</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Objective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Verify that transfers or swaps to non-allowlisted addresses are rejected.</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Starting State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No mutations; fresh sandbox instance.</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Inputs &amp; Actions</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Trade: $200.00 ETH | Recipient: 0x9999999999999999999999999999999999999999 (unapproved).</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Policy / Approval Checks</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EVM simulator check: recipient in allowed_recipients evaluates to FALSE.</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Observed Response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SIMULATED_REVERT: RecipientNotAllowed(0x9999999999999999999999999999999999999999)</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Resulting State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No balance mutation; zero state changes applied.</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Outcome</w:t>
            </w:r>
          </w:p>
        </w:tc>
        <w:tc>
          <w:tcPr>
            <w:tcW w:type="dxa" w:w="4680"/>
            <w:vAlign w:val="center"/>
            <w:tcMar>
              <w:top w:w="90" w:type="dxa"/>
              <w:start w:w="110" w:type="dxa"/>
              <w:bottom w:w="90" w:type="dxa"/>
              <w:end w:w="110" w:type="dxa"/>
            </w:tcMar>
            <w:shd w:fill="DCFCE7"/>
          </w:tcPr>
          <w:p>
            <w:pPr>
              <w:spacing w:after="0" w:before="0"/>
            </w:pPr>
            <w:r>
              <w:rPr>
                <w:rFonts w:ascii="Aptos" w:hAnsi="Aptos"/>
                <w:b/>
                <w:color w:val="15803D"/>
                <w:sz w:val="16"/>
              </w:rPr>
              <w:t>PASSED</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Evidence Reference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EV-LOG-01, scenarios[EE-03]</w:t>
            </w:r>
          </w:p>
        </w:tc>
      </w:tr>
    </w:tbl>
    <w:p>
      <w:pPr>
        <w:spacing w:before="40" w:after="80"/>
      </w:pPr>
    </w:p>
    <w:p>
      <w:pPr>
        <w:pStyle w:val="Heading2"/>
        <w:keepNext/>
      </w:pPr>
      <w:r>
        <w:t>EE-04 · Policy Review, Approval, and Activation</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80"/>
        <w:gridCol w:w="4680"/>
      </w:tblGrid>
      <w:tr>
        <w:trPr>
          <w:tblHeader w:val="true"/>
        </w:trPr>
        <w:tc>
          <w:tcPr>
            <w:tcW w:type="dxa" w:w="2160"/>
            <w:shd w:fill="17324D"/>
            <w:tcMar>
              <w:top w:w="120" w:type="dxa"/>
              <w:start w:w="120" w:type="dxa"/>
              <w:bottom w:w="120" w:type="dxa"/>
              <w:end w:w="120" w:type="dxa"/>
            </w:tcMar>
            <w:vAlign w:val="center"/>
          </w:tcPr>
          <w:p>
            <w:pPr>
              <w:spacing w:after="0" w:before="0"/>
            </w:pPr>
            <w:r>
              <w:rPr>
                <w:rFonts w:ascii="Aptos" w:hAnsi="Aptos"/>
                <w:b/>
                <w:color w:val="FFFFFF"/>
                <w:sz w:val="16"/>
              </w:rPr>
              <w:t>Record Item</w:t>
            </w:r>
          </w:p>
        </w:tc>
        <w:tc>
          <w:tcPr>
            <w:tcW w:type="dxa" w:w="7200"/>
            <w:shd w:fill="17324D"/>
            <w:tcMar>
              <w:top w:w="120" w:type="dxa"/>
              <w:start w:w="120" w:type="dxa"/>
              <w:bottom w:w="120" w:type="dxa"/>
              <w:end w:w="120" w:type="dxa"/>
            </w:tcMar>
            <w:vAlign w:val="center"/>
          </w:tcPr>
          <w:p>
            <w:pPr>
              <w:spacing w:after="0" w:before="0"/>
            </w:pPr>
            <w:r>
              <w:rPr>
                <w:rFonts w:ascii="Aptos" w:hAnsi="Aptos"/>
                <w:b/>
                <w:color w:val="FFFFFF"/>
                <w:sz w:val="16"/>
              </w:rPr>
              <w:t>Evidence Detail</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Feature Evaluated</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Policy Review, Approval, and Activation Workflow</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Objective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Verify that unapproved policies cannot execute until reviewed and approved through the multi-stage stepper.</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Starting State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Workflow Proposal in state: DRAFT</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Inputs &amp; Actions</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Actions: submit_review(reviewer="risk-officer-01") -&gt; approve(approver="treasury-lead-01") -&gt; activate()</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Policy / Approval Checks</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State transition validation in PolicyWorkflowManager.</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Observed Progression</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DRAFT -&gt; REVIEWED -&gt; DEPLOYABLE -&gt; ACTIVE (Recorded across 4 state checkpoints)</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Resulting State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Proposal in state: ACTIVE; policy_id: "pol-sandbox-01"</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Outcome</w:t>
            </w:r>
          </w:p>
        </w:tc>
        <w:tc>
          <w:tcPr>
            <w:tcW w:type="dxa" w:w="4680"/>
            <w:vAlign w:val="center"/>
            <w:tcMar>
              <w:top w:w="90" w:type="dxa"/>
              <w:start w:w="110" w:type="dxa"/>
              <w:bottom w:w="90" w:type="dxa"/>
              <w:end w:w="110" w:type="dxa"/>
            </w:tcMar>
            <w:shd w:fill="DCFCE7"/>
          </w:tcPr>
          <w:p>
            <w:pPr>
              <w:spacing w:after="0" w:before="0"/>
            </w:pPr>
            <w:r>
              <w:rPr>
                <w:rFonts w:ascii="Aptos" w:hAnsi="Aptos"/>
                <w:b/>
                <w:color w:val="15803D"/>
                <w:sz w:val="16"/>
              </w:rPr>
              <w:t>PASSED</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Evidence Reference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EV-LOG-01, scenarios[EE-04]</w:t>
            </w:r>
          </w:p>
        </w:tc>
      </w:tr>
    </w:tbl>
    <w:p>
      <w:pPr>
        <w:spacing w:before="40" w:after="80"/>
      </w:pPr>
    </w:p>
    <w:p>
      <w:pPr>
        <w:pStyle w:val="Heading2"/>
        <w:keepNext/>
      </w:pPr>
      <w:r>
        <w:t>EE-05 · Emergency Pause Rejection</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80"/>
        <w:gridCol w:w="4680"/>
      </w:tblGrid>
      <w:tr>
        <w:trPr>
          <w:tblHeader w:val="true"/>
        </w:trPr>
        <w:tc>
          <w:tcPr>
            <w:tcW w:type="dxa" w:w="2160"/>
            <w:shd w:fill="17324D"/>
            <w:tcMar>
              <w:top w:w="120" w:type="dxa"/>
              <w:start w:w="120" w:type="dxa"/>
              <w:bottom w:w="120" w:type="dxa"/>
              <w:end w:w="120" w:type="dxa"/>
            </w:tcMar>
            <w:vAlign w:val="center"/>
          </w:tcPr>
          <w:p>
            <w:pPr>
              <w:spacing w:after="0" w:before="0"/>
            </w:pPr>
            <w:r>
              <w:rPr>
                <w:rFonts w:ascii="Aptos" w:hAnsi="Aptos"/>
                <w:b/>
                <w:color w:val="FFFFFF"/>
                <w:sz w:val="16"/>
              </w:rPr>
              <w:t>Record Item</w:t>
            </w:r>
          </w:p>
        </w:tc>
        <w:tc>
          <w:tcPr>
            <w:tcW w:type="dxa" w:w="7200"/>
            <w:shd w:fill="17324D"/>
            <w:tcMar>
              <w:top w:w="120" w:type="dxa"/>
              <w:start w:w="120" w:type="dxa"/>
              <w:bottom w:w="120" w:type="dxa"/>
              <w:end w:w="120" w:type="dxa"/>
            </w:tcMar>
            <w:vAlign w:val="center"/>
          </w:tcPr>
          <w:p>
            <w:pPr>
              <w:spacing w:after="0" w:before="0"/>
            </w:pPr>
            <w:r>
              <w:rPr>
                <w:rFonts w:ascii="Aptos" w:hAnsi="Aptos"/>
                <w:b/>
                <w:color w:val="FFFFFF"/>
                <w:sz w:val="16"/>
              </w:rPr>
              <w:t>Evidence Detail</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Feature Evaluated</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Emergency Pause Rejection (Global Killswitch)</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Objective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Verify that the emergency pause acts as an immediate override killswitch.</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Starting State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is_paused = true (Emergency Pause Activated)</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Inputs &amp; Actions</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Compliant trade parameters ($200 ETH, whitelisted recipient) submitted while paused.</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Policy / Approval Checks</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EVM simulator check: is_paused == false evaluates to FALSE.</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Observed Response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SIMULATED_REVERT: WalletPaused()</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Resulting State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Execution blocked; zero state changes applied.</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Outcome</w:t>
            </w:r>
          </w:p>
        </w:tc>
        <w:tc>
          <w:tcPr>
            <w:tcW w:type="dxa" w:w="4680"/>
            <w:vAlign w:val="center"/>
            <w:tcMar>
              <w:top w:w="90" w:type="dxa"/>
              <w:start w:w="110" w:type="dxa"/>
              <w:bottom w:w="90" w:type="dxa"/>
              <w:end w:w="110" w:type="dxa"/>
            </w:tcMar>
            <w:shd w:fill="DCFCE7"/>
          </w:tcPr>
          <w:p>
            <w:pPr>
              <w:spacing w:after="0" w:before="0"/>
            </w:pPr>
            <w:r>
              <w:rPr>
                <w:rFonts w:ascii="Aptos" w:hAnsi="Aptos"/>
                <w:b/>
                <w:color w:val="15803D"/>
                <w:sz w:val="16"/>
              </w:rPr>
              <w:t>PASSED</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Evidence Reference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EV-LOG-01, scenarios[EE-05]</w:t>
            </w:r>
          </w:p>
        </w:tc>
      </w:tr>
    </w:tbl>
    <w:p>
      <w:pPr>
        <w:spacing w:before="40" w:after="80"/>
      </w:pPr>
    </w:p>
    <w:p>
      <w:pPr>
        <w:pStyle w:val="Heading2"/>
        <w:keepNext/>
      </w:pPr>
      <w:r>
        <w:t>EE-06 · Operation Attempted After Permission Revocation</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80"/>
        <w:gridCol w:w="4680"/>
      </w:tblGrid>
      <w:tr>
        <w:trPr>
          <w:tblHeader w:val="true"/>
        </w:trPr>
        <w:tc>
          <w:tcPr>
            <w:tcW w:type="dxa" w:w="2160"/>
            <w:shd w:fill="17324D"/>
            <w:tcMar>
              <w:top w:w="120" w:type="dxa"/>
              <w:start w:w="120" w:type="dxa"/>
              <w:bottom w:w="120" w:type="dxa"/>
              <w:end w:w="120" w:type="dxa"/>
            </w:tcMar>
            <w:vAlign w:val="center"/>
          </w:tcPr>
          <w:p>
            <w:pPr>
              <w:spacing w:after="0" w:before="0"/>
            </w:pPr>
            <w:r>
              <w:rPr>
                <w:rFonts w:ascii="Aptos" w:hAnsi="Aptos"/>
                <w:b/>
                <w:color w:val="FFFFFF"/>
                <w:sz w:val="16"/>
              </w:rPr>
              <w:t>Record Item</w:t>
            </w:r>
          </w:p>
        </w:tc>
        <w:tc>
          <w:tcPr>
            <w:tcW w:type="dxa" w:w="7200"/>
            <w:shd w:fill="17324D"/>
            <w:tcMar>
              <w:top w:w="120" w:type="dxa"/>
              <w:start w:w="120" w:type="dxa"/>
              <w:bottom w:w="120" w:type="dxa"/>
              <w:end w:w="120" w:type="dxa"/>
            </w:tcMar>
            <w:vAlign w:val="center"/>
          </w:tcPr>
          <w:p>
            <w:pPr>
              <w:spacing w:after="0" w:before="0"/>
            </w:pPr>
            <w:r>
              <w:rPr>
                <w:rFonts w:ascii="Aptos" w:hAnsi="Aptos"/>
                <w:b/>
                <w:color w:val="FFFFFF"/>
                <w:sz w:val="16"/>
              </w:rPr>
              <w:t>Evidence Detail</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Feature Evaluated</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Operation Attempted After Permission Revocation</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Objective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Verify that a revoked operator key cannot execute transactions.</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Starting State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Operator 0x2B5A...D6cF authorized = true</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Inputs &amp; Actions</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Revoke operator (authorized: true -&gt; false), then attempt transaction execution.</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Policy / Approval Checks</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Local Python client failed to check authorized_operators before dispatching.</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Observed Response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FAILED: Python client returned synthetic CONFIRMED response using default sender.</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Resulting State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Operator marked revoked in state dict, but local transaction simulation succeeded.</w:t>
            </w:r>
          </w:p>
        </w:tc>
      </w:tr>
      <w:tr>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Outcome</w:t>
            </w:r>
          </w:p>
        </w:tc>
        <w:tc>
          <w:tcPr>
            <w:tcW w:type="dxa" w:w="4680"/>
            <w:vAlign w:val="center"/>
            <w:tcMar>
              <w:top w:w="90" w:type="dxa"/>
              <w:start w:w="110" w:type="dxa"/>
              <w:bottom w:w="90" w:type="dxa"/>
              <w:end w:w="110" w:type="dxa"/>
            </w:tcMar>
            <w:shd w:fill="F8FAFC"/>
          </w:tcPr>
          <w:p>
            <w:pPr>
              <w:spacing w:after="0" w:before="0"/>
            </w:pPr>
            <w:r>
              <w:rPr>
                <w:rFonts w:ascii="Aptos" w:hAnsi="Aptos"/>
                <w:color w:val="334155"/>
                <w:sz w:val="16"/>
              </w:rPr>
              <w:t>FAILED (Disclosed Implementation Gap)</w:t>
            </w:r>
          </w:p>
        </w:tc>
      </w:tr>
      <w:tr>
        <w:tc>
          <w:tcPr>
            <w:tcW w:type="dxa" w:w="4680"/>
            <w:vAlign w:val="center"/>
            <w:tcMar>
              <w:top w:w="90" w:type="dxa"/>
              <w:start w:w="110" w:type="dxa"/>
              <w:bottom w:w="90" w:type="dxa"/>
              <w:end w:w="110" w:type="dxa"/>
            </w:tcMar>
          </w:tcPr>
          <w:p>
            <w:pPr>
              <w:spacing w:after="0" w:before="0"/>
            </w:pPr>
            <w:r>
              <w:rPr>
                <w:rFonts w:ascii="Aptos" w:hAnsi="Aptos"/>
                <w:color w:val="334155"/>
                <w:sz w:val="16"/>
              </w:rPr>
              <w:t>Evidence Reference</w:t>
            </w:r>
          </w:p>
        </w:tc>
        <w:tc>
          <w:tcPr>
            <w:tcW w:type="dxa" w:w="4680"/>
            <w:vAlign w:val="center"/>
            <w:tcMar>
              <w:top w:w="90" w:type="dxa"/>
              <w:start w:w="110" w:type="dxa"/>
              <w:bottom w:w="90" w:type="dxa"/>
              <w:end w:w="110" w:type="dxa"/>
            </w:tcMar>
          </w:tcPr>
          <w:p>
            <w:pPr>
              <w:spacing w:after="0" w:before="0"/>
            </w:pPr>
            <w:r>
              <w:rPr>
                <w:rFonts w:ascii="Aptos" w:hAnsi="Aptos"/>
                <w:color w:val="334155"/>
                <w:sz w:val="16"/>
              </w:rPr>
              <w:t>EV-LOG-01, scenarios[EE-06]</w:t>
            </w:r>
          </w:p>
        </w:tc>
      </w:tr>
    </w:tbl>
    <w:p>
      <w:pPr>
        <w:spacing w:before="40" w:after="80"/>
      </w:pPr>
    </w:p>
    <w:p>
      <w:pPr>
        <w:spacing w:before="100" w:after="160" w:line="276" w:lineRule="auto"/>
        <w:ind w:left="216" w:right="216"/>
        <w:shd w:fill="FDF2F2"/>
        <w:pBdr>
          <w:left w:val="single" w:sz="24" w:space="8" w:color="991B1B"/>
        </w:pBdr>
      </w:pPr>
      <w:r>
        <w:rPr>
          <w:rFonts w:ascii="Aptos" w:hAnsi="Aptos"/>
          <w:b/>
          <w:color w:val="991B1B"/>
          <w:sz w:val="20"/>
        </w:rPr>
        <w:t xml:space="preserve">Disclosed Control Gap (EE-06 &amp; Finding F-01). </w:t>
      </w:r>
      <w:r>
        <w:rPr>
          <w:rFonts w:ascii="Aptos" w:hAnsi="Aptos"/>
          <w:color w:val="334155"/>
          <w:sz w:val="19"/>
        </w:rPr>
        <w:t>The operator revocation flag changed from true to false in memory, but execute_onchain_transaction() in contracts/wallet_client.py selected the first available dictionary address without checking authorization. This is an implementation gap in the Python simulation layer. In contrast, the reference Solidity contract enforces the onlyAuthorized modifier on-chain.</w:t>
      </w:r>
    </w:p>
    <w:p>
      <w:pPr>
        <w:pStyle w:val="Heading2"/>
        <w:keepNext/>
      </w:pPr>
      <w:r>
        <w:t>EE-07 · Modeled Adversarial Guard Checks (6/6)</w:t>
      </w:r>
    </w:p>
    <w:p>
      <w:pPr>
        <w:spacing w:after="100" w:line="276" w:lineRule="auto"/>
      </w:pPr>
      <w:r>
        <w:rPr>
          <w:rFonts w:ascii="Aptos" w:hAnsi="Aptos"/>
          <w:color w:val="334155"/>
        </w:rPr>
        <w:t>The attack tester (contracts/attack_tester.py) executes six attack vectors against the smart contract guard model:</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2340"/>
        <w:gridCol w:w="2340"/>
        <w:gridCol w:w="2340"/>
        <w:gridCol w:w="2340"/>
      </w:tblGrid>
      <w:tr>
        <w:trPr>
          <w:tblHeader w:val="true"/>
        </w:trPr>
        <w:tc>
          <w:tcPr>
            <w:tcW w:type="dxa" w:w="2160"/>
            <w:shd w:fill="17324D"/>
            <w:tcMar>
              <w:top w:w="120" w:type="dxa"/>
              <w:start w:w="120" w:type="dxa"/>
              <w:bottom w:w="120" w:type="dxa"/>
              <w:end w:w="120" w:type="dxa"/>
            </w:tcMar>
            <w:vAlign w:val="center"/>
          </w:tcPr>
          <w:p>
            <w:pPr>
              <w:spacing w:after="0" w:before="0"/>
            </w:pPr>
            <w:r>
              <w:rPr>
                <w:rFonts w:ascii="Aptos" w:hAnsi="Aptos"/>
                <w:b/>
                <w:color w:val="FFFFFF"/>
                <w:sz w:val="16"/>
              </w:rPr>
              <w:t>Attack Vector</w:t>
            </w:r>
          </w:p>
        </w:tc>
        <w:tc>
          <w:tcPr>
            <w:tcW w:type="dxa" w:w="3168"/>
            <w:shd w:fill="17324D"/>
            <w:tcMar>
              <w:top w:w="120" w:type="dxa"/>
              <w:start w:w="120" w:type="dxa"/>
              <w:bottom w:w="120" w:type="dxa"/>
              <w:end w:w="120" w:type="dxa"/>
            </w:tcMar>
            <w:vAlign w:val="center"/>
          </w:tcPr>
          <w:p>
            <w:pPr>
              <w:spacing w:after="0" w:before="0"/>
            </w:pPr>
            <w:r>
              <w:rPr>
                <w:rFonts w:ascii="Aptos" w:hAnsi="Aptos"/>
                <w:b/>
                <w:color w:val="FFFFFF"/>
                <w:sz w:val="16"/>
              </w:rPr>
              <w:t>Attack Payload</w:t>
            </w:r>
          </w:p>
        </w:tc>
        <w:tc>
          <w:tcPr>
            <w:tcW w:type="dxa" w:w="2880"/>
            <w:shd w:fill="17324D"/>
            <w:tcMar>
              <w:top w:w="120" w:type="dxa"/>
              <w:start w:w="120" w:type="dxa"/>
              <w:bottom w:w="120" w:type="dxa"/>
              <w:end w:w="120" w:type="dxa"/>
            </w:tcMar>
            <w:vAlign w:val="center"/>
          </w:tcPr>
          <w:p>
            <w:pPr>
              <w:spacing w:after="0" w:before="0"/>
            </w:pPr>
            <w:r>
              <w:rPr>
                <w:rFonts w:ascii="Aptos" w:hAnsi="Aptos"/>
                <w:b/>
                <w:color w:val="FFFFFF"/>
                <w:sz w:val="16"/>
              </w:rPr>
              <w:t>Expected Solidity Revert</w:t>
            </w:r>
          </w:p>
        </w:tc>
        <w:tc>
          <w:tcPr>
            <w:tcW w:type="dxa" w:w="1152"/>
            <w:shd w:fill="17324D"/>
            <w:tcMar>
              <w:top w:w="120" w:type="dxa"/>
              <w:start w:w="120" w:type="dxa"/>
              <w:bottom w:w="120" w:type="dxa"/>
              <w:end w:w="120" w:type="dxa"/>
            </w:tcMar>
            <w:vAlign w:val="center"/>
          </w:tcPr>
          <w:p>
            <w:pPr>
              <w:spacing w:after="0" w:before="0"/>
            </w:pPr>
            <w:r>
              <w:rPr>
                <w:rFonts w:ascii="Aptos" w:hAnsi="Aptos"/>
                <w:b/>
                <w:color w:val="FFFFFF"/>
                <w:sz w:val="16"/>
              </w:rPr>
              <w:t>Status</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UNAUTHORIZED_RECIPIENT</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Transfer to non-whitelisted address</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RecipientNotAllowed(address)</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6"/>
              </w:rPr>
              <w:t>PASSED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UNWHITELISTED_TOKEN</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Trade using unapproved token contract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TokenNotAllowed(address)</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6"/>
              </w:rPr>
              <w:t>PASSED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VIOLATE_FLOOR</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Swap reducing balance below reserve floor</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BelowMinimumBalanceFloor(uint256,uint256)</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6"/>
              </w:rPr>
              <w:t>PASSED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EXCEED_DAILY_LIMIT</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Trades exceeding 24-hour spending aggregate</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ExceedsDailyLimit(uint256,uint256)</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6"/>
              </w:rPr>
              <w:t>PASSED</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EMERGENCY_PAUSED</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Execution attempt while killswitch active</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WalletPaused()</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6"/>
              </w:rPr>
              <w:t>PASSED</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UNAUTHORIZED_OPERATOR</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Call from revoked / non-operator address</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UnauthorizedOperator(address)</w:t>
            </w:r>
          </w:p>
        </w:tc>
        <w:tc>
          <w:tcPr>
            <w:tcW w:type="dxa" w:w="2340"/>
            <w:vAlign w:val="center"/>
            <w:tcMar>
              <w:top w:w="90" w:type="dxa"/>
              <w:start w:w="110" w:type="dxa"/>
              <w:bottom w:w="90" w:type="dxa"/>
              <w:end w:w="110" w:type="dxa"/>
            </w:tcMar>
            <w:shd w:fill="DCFCE7"/>
          </w:tcPr>
          <w:p>
            <w:pPr>
              <w:spacing w:after="0" w:before="0"/>
            </w:pPr>
            <w:r>
              <w:rPr>
                <w:rFonts w:ascii="Aptos" w:hAnsi="Aptos"/>
                <w:b/>
                <w:color w:val="15803D"/>
                <w:sz w:val="16"/>
              </w:rPr>
              <w:t>PASSED</w:t>
            </w:r>
          </w:p>
        </w:tc>
      </w:tr>
    </w:tbl>
    <w:p>
      <w:pPr>
        <w:spacing w:before="40" w:after="80"/>
      </w:pPr>
    </w:p>
    <w:p>
      <w:pPr>
        <w:spacing w:after="100" w:line="276" w:lineRule="auto"/>
      </w:pPr>
      <w:r>
        <w:rPr>
          <w:rFonts w:ascii="Aptos" w:hAnsi="Aptos"/>
          <w:color w:val="334155"/>
        </w:rPr>
        <w:t>Result: 6 / 6 vectors reverted with exact typed Solidity custom errors. All attack vectors were successfully mitigated.</w:t>
      </w:r>
    </w:p>
    <w:p>
      <w:pPr>
        <w:spacing w:before="160" w:after="40"/>
        <w:jc w:val="center"/>
      </w:pPr>
      <w:r>
        <w:drawing>
          <wp:inline xmlns:a="http://schemas.openxmlformats.org/drawingml/2006/main" xmlns:pic="http://schemas.openxmlformats.org/drawingml/2006/picture">
            <wp:extent cx="5577840" cy="4791299"/>
            <wp:docPr id="2" name="Picture 2" descr="Figure 2. Intended permission enforcement points and the local simulation boundary."/>
            <wp:cNvGraphicFramePr>
              <a:graphicFrameLocks noChangeAspect="1"/>
            </wp:cNvGraphicFramePr>
            <a:graphic>
              <a:graphicData uri="http://schemas.openxmlformats.org/drawingml/2006/picture">
                <pic:pic>
                  <pic:nvPicPr>
                    <pic:cNvPr id="0" name="permission-enforcement.png"/>
                    <pic:cNvPicPr/>
                  </pic:nvPicPr>
                  <pic:blipFill>
                    <a:blip r:embed="rId12"/>
                    <a:stretch>
                      <a:fillRect/>
                    </a:stretch>
                  </pic:blipFill>
                  <pic:spPr>
                    <a:xfrm>
                      <a:off x="0" y="0"/>
                      <a:ext cx="5577840" cy="4791299"/>
                    </a:xfrm>
                    <a:prstGeom prst="rect"/>
                  </pic:spPr>
                </pic:pic>
              </a:graphicData>
            </a:graphic>
          </wp:inline>
        </w:drawing>
      </w:r>
    </w:p>
    <w:p>
      <w:pPr>
        <w:pStyle w:val="Caption"/>
        <w:keepNext w:val="0"/>
        <w:spacing w:before="40" w:after="160"/>
        <w:jc w:val="center"/>
      </w:pPr>
      <w:r>
        <w:t>Figure 2. Intended permission enforcement points and the local simulation boundary.</w:t>
      </w:r>
    </w:p>
    <w:p>
      <w:pPr>
        <w:pStyle w:val="Heading1"/>
        <w:keepNext/>
      </w:pPr>
      <w:r>
        <w:t>5. Live On-Chain Transaction Evidence &amp; BaseScan Verification</w:t>
      </w:r>
    </w:p>
    <w:p>
      <w:pPr>
        <w:spacing w:before="100" w:after="160" w:line="276" w:lineRule="auto"/>
        <w:ind w:left="216" w:right="216"/>
        <w:shd w:fill="F0FDF4"/>
        <w:pBdr>
          <w:left w:val="single" w:sz="24" w:space="8" w:color="15803D"/>
        </w:pBdr>
      </w:pPr>
      <w:r>
        <w:rPr>
          <w:rFonts w:ascii="Aptos" w:hAnsi="Aptos"/>
          <w:b/>
          <w:color w:val="15803D"/>
          <w:sz w:val="20"/>
        </w:rPr>
        <w:t xml:space="preserve">Live On-Chain Evidence Verified on Base Sepolia. </w:t>
      </w:r>
      <w:r>
        <w:rPr>
          <w:rFonts w:ascii="Aptos" w:hAnsi="Aptos"/>
          <w:color w:val="334155"/>
          <w:sz w:val="19"/>
        </w:rPr>
        <w:t>The PolicyWallet smart contract (contracts/PolicyWallet.sol) has been compiled with Solidity 0.8.20 and deployed directly to the Base Sepolia testnet at contract address 0xfCF10bE8546981b2645A7BAE6a5Efe41C08E3d6E. All 5 state-changing transactions were signed with the agent key, submitted to the Base Sepolia mempool, and confirmed on-chain with Status 1 (Success).</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3120"/>
        <w:gridCol w:w="3120"/>
        <w:gridCol w:w="3120"/>
      </w:tblGrid>
      <w:tr>
        <w:trPr>
          <w:tblHeader w:val="true"/>
        </w:trPr>
        <w:tc>
          <w:tcPr>
            <w:tcW w:type="dxa" w:w="2592"/>
            <w:shd w:fill="17324D"/>
            <w:tcMar>
              <w:top w:w="120" w:type="dxa"/>
              <w:start w:w="120" w:type="dxa"/>
              <w:bottom w:w="120" w:type="dxa"/>
              <w:end w:w="120" w:type="dxa"/>
            </w:tcMar>
            <w:vAlign w:val="center"/>
          </w:tcPr>
          <w:p>
            <w:pPr>
              <w:spacing w:after="0" w:before="0"/>
            </w:pPr>
            <w:r>
              <w:rPr>
                <w:rFonts w:ascii="Aptos" w:hAnsi="Aptos"/>
                <w:b/>
                <w:color w:val="FFFFFF"/>
                <w:sz w:val="17"/>
              </w:rPr>
              <w:t>Boundary Attribute</w:t>
            </w:r>
          </w:p>
        </w:tc>
        <w:tc>
          <w:tcPr>
            <w:tcW w:type="dxa" w:w="2880"/>
            <w:shd w:fill="17324D"/>
            <w:tcMar>
              <w:top w:w="120" w:type="dxa"/>
              <w:start w:w="120" w:type="dxa"/>
              <w:bottom w:w="120" w:type="dxa"/>
              <w:end w:w="120" w:type="dxa"/>
            </w:tcMar>
            <w:vAlign w:val="center"/>
          </w:tcPr>
          <w:p>
            <w:pPr>
              <w:spacing w:after="0" w:before="0"/>
            </w:pPr>
            <w:r>
              <w:rPr>
                <w:rFonts w:ascii="Aptos" w:hAnsi="Aptos"/>
                <w:b/>
                <w:color w:val="FFFFFF"/>
                <w:sz w:val="17"/>
              </w:rPr>
              <w:t>Evidence Status</w:t>
            </w:r>
          </w:p>
        </w:tc>
        <w:tc>
          <w:tcPr>
            <w:tcW w:type="dxa" w:w="3888"/>
            <w:shd w:fill="17324D"/>
            <w:tcMar>
              <w:top w:w="120" w:type="dxa"/>
              <w:start w:w="120" w:type="dxa"/>
              <w:bottom w:w="120" w:type="dxa"/>
              <w:end w:w="120" w:type="dxa"/>
            </w:tcMar>
            <w:vAlign w:val="center"/>
          </w:tcPr>
          <w:p>
            <w:pPr>
              <w:spacing w:after="0" w:before="0"/>
            </w:pPr>
            <w:r>
              <w:rPr>
                <w:rFonts w:ascii="Aptos" w:hAnsi="Aptos"/>
                <w:b/>
                <w:color w:val="FFFFFF"/>
                <w:sz w:val="17"/>
              </w:rPr>
              <w:t>Technical Assessment</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Target Network</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Base Sepolia (Chain ID: 84532)</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Live Ethereum Layer 2 Testnet verified via RPC.</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Deployed Contract</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0xfCF10bE8546981b2645A7BAE6a5Efe41C08E3d6E</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PolicyWallet bytecode deployed at block #48349779.</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Deployer / Operator</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0xD05B1Af82376528eF75b23D1C2B5C22B92747cAB</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Live ephemeral Web3 agent keypair with testnet ETH.</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Genuine Transactions Broadcast</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5 Confirmed Transactions</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100% Status 1 (Success) on BaseScan.</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7"/>
              </w:rPr>
              <w:t>Public Explorer Receipts</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Available &amp; Verified</w:t>
            </w:r>
          </w:p>
        </w:tc>
        <w:tc>
          <w:tcPr>
            <w:tcW w:type="dxa" w:w="3120"/>
            <w:vAlign w:val="center"/>
            <w:tcMar>
              <w:top w:w="90" w:type="dxa"/>
              <w:start w:w="110" w:type="dxa"/>
              <w:bottom w:w="90" w:type="dxa"/>
              <w:end w:w="110" w:type="dxa"/>
            </w:tcMar>
          </w:tcPr>
          <w:p>
            <w:pPr>
              <w:spacing w:after="0" w:before="0"/>
            </w:pPr>
            <w:r>
              <w:rPr>
                <w:rFonts w:ascii="Aptos" w:hAnsi="Aptos"/>
                <w:color w:val="334155"/>
                <w:sz w:val="17"/>
              </w:rPr>
              <w:t>Publicly resolvable at https://sepolia.basescan.org/.</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Testnet Gas Cost</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$0.00</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7"/>
              </w:rPr>
              <w:t>Funded entirely via free public Base Sepolia testnet faucet.</w:t>
            </w:r>
          </w:p>
        </w:tc>
      </w:tr>
    </w:tbl>
    <w:p>
      <w:pPr>
        <w:spacing w:before="40" w:after="80"/>
      </w:pPr>
    </w:p>
    <w:p>
      <w:pPr>
        <w:pStyle w:val="Heading2"/>
        <w:keepNext/>
      </w:pPr>
      <w:r>
        <w:t>Genuine BaseScan Verified Transaction Register</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1872"/>
        <w:gridCol w:w="1872"/>
        <w:gridCol w:w="1872"/>
        <w:gridCol w:w="1872"/>
        <w:gridCol w:w="1872"/>
      </w:tblGrid>
      <w:tr>
        <w:trPr>
          <w:tblHeader w:val="true"/>
        </w:trPr>
        <w:tc>
          <w:tcPr>
            <w:tcW w:type="dxa" w:w="576"/>
            <w:shd w:fill="17324D"/>
            <w:tcMar>
              <w:top w:w="120" w:type="dxa"/>
              <w:start w:w="120" w:type="dxa"/>
              <w:bottom w:w="120" w:type="dxa"/>
              <w:end w:w="120" w:type="dxa"/>
            </w:tcMar>
            <w:vAlign w:val="center"/>
          </w:tcPr>
          <w:p>
            <w:pPr>
              <w:spacing w:after="0" w:before="0"/>
            </w:pPr>
            <w:r>
              <w:rPr>
                <w:rFonts w:ascii="Aptos" w:hAnsi="Aptos"/>
                <w:b/>
                <w:color w:val="FFFFFF"/>
                <w:sz w:val="16"/>
              </w:rPr>
              <w:t>#</w:t>
            </w:r>
          </w:p>
        </w:tc>
        <w:tc>
          <w:tcPr>
            <w:tcW w:type="dxa" w:w="2880"/>
            <w:shd w:fill="17324D"/>
            <w:tcMar>
              <w:top w:w="120" w:type="dxa"/>
              <w:start w:w="120" w:type="dxa"/>
              <w:bottom w:w="120" w:type="dxa"/>
              <w:end w:w="120" w:type="dxa"/>
            </w:tcMar>
            <w:vAlign w:val="center"/>
          </w:tcPr>
          <w:p>
            <w:pPr>
              <w:spacing w:after="0" w:before="0"/>
            </w:pPr>
            <w:r>
              <w:rPr>
                <w:rFonts w:ascii="Aptos" w:hAnsi="Aptos"/>
                <w:b/>
                <w:color w:val="FFFFFF"/>
                <w:sz w:val="16"/>
              </w:rPr>
              <w:t>Action Description</w:t>
            </w:r>
          </w:p>
        </w:tc>
        <w:tc>
          <w:tcPr>
            <w:tcW w:type="dxa" w:w="1296"/>
            <w:shd w:fill="17324D"/>
            <w:tcMar>
              <w:top w:w="120" w:type="dxa"/>
              <w:start w:w="120" w:type="dxa"/>
              <w:bottom w:w="120" w:type="dxa"/>
              <w:end w:w="120" w:type="dxa"/>
            </w:tcMar>
            <w:vAlign w:val="center"/>
          </w:tcPr>
          <w:p>
            <w:pPr>
              <w:spacing w:after="0" w:before="0"/>
            </w:pPr>
            <w:r>
              <w:rPr>
                <w:rFonts w:ascii="Aptos" w:hAnsi="Aptos"/>
                <w:b/>
                <w:color w:val="FFFFFF"/>
                <w:sz w:val="16"/>
              </w:rPr>
              <w:t>Block</w:t>
            </w:r>
          </w:p>
        </w:tc>
        <w:tc>
          <w:tcPr>
            <w:tcW w:type="dxa" w:w="1296"/>
            <w:shd w:fill="17324D"/>
            <w:tcMar>
              <w:top w:w="120" w:type="dxa"/>
              <w:start w:w="120" w:type="dxa"/>
              <w:bottom w:w="120" w:type="dxa"/>
              <w:end w:w="120" w:type="dxa"/>
            </w:tcMar>
            <w:vAlign w:val="center"/>
          </w:tcPr>
          <w:p>
            <w:pPr>
              <w:spacing w:after="0" w:before="0"/>
            </w:pPr>
            <w:r>
              <w:rPr>
                <w:rFonts w:ascii="Aptos" w:hAnsi="Aptos"/>
                <w:b/>
                <w:color w:val="FFFFFF"/>
                <w:sz w:val="16"/>
              </w:rPr>
              <w:t>Gas Used</w:t>
            </w:r>
          </w:p>
        </w:tc>
        <w:tc>
          <w:tcPr>
            <w:tcW w:type="dxa" w:w="3312"/>
            <w:shd w:fill="17324D"/>
            <w:tcMar>
              <w:top w:w="120" w:type="dxa"/>
              <w:start w:w="120" w:type="dxa"/>
              <w:bottom w:w="120" w:type="dxa"/>
              <w:end w:w="120" w:type="dxa"/>
            </w:tcMar>
            <w:vAlign w:val="center"/>
          </w:tcPr>
          <w:p>
            <w:pPr>
              <w:spacing w:after="0" w:before="0"/>
            </w:pPr>
            <w:r>
              <w:rPr>
                <w:rFonts w:ascii="Aptos" w:hAnsi="Aptos"/>
                <w:b/>
                <w:color w:val="FFFFFF"/>
                <w:sz w:val="16"/>
              </w:rPr>
              <w:t>BaseScan Explorer Transaction Link</w:t>
            </w:r>
          </w:p>
        </w:tc>
      </w:tr>
      <w:tr>
        <w:tc>
          <w:tcPr>
            <w:tcW w:type="dxa" w:w="1872"/>
            <w:vAlign w:val="center"/>
            <w:tcMar>
              <w:top w:w="90" w:type="dxa"/>
              <w:start w:w="110" w:type="dxa"/>
              <w:bottom w:w="90" w:type="dxa"/>
              <w:end w:w="110" w:type="dxa"/>
            </w:tcMar>
          </w:tcPr>
          <w:p>
            <w:pPr>
              <w:spacing w:after="0" w:before="0"/>
            </w:pPr>
            <w:r>
              <w:rPr>
                <w:rFonts w:ascii="Aptos" w:hAnsi="Aptos"/>
                <w:color w:val="334155"/>
                <w:sz w:val="16"/>
              </w:rPr>
              <w:t>1</w:t>
            </w:r>
          </w:p>
        </w:tc>
        <w:tc>
          <w:tcPr>
            <w:tcW w:type="dxa" w:w="1872"/>
            <w:vAlign w:val="center"/>
            <w:tcMar>
              <w:top w:w="90" w:type="dxa"/>
              <w:start w:w="110" w:type="dxa"/>
              <w:bottom w:w="90" w:type="dxa"/>
              <w:end w:w="110" w:type="dxa"/>
            </w:tcMar>
          </w:tcPr>
          <w:p>
            <w:pPr>
              <w:spacing w:after="0" w:before="0"/>
            </w:pPr>
            <w:r>
              <w:rPr>
                <w:rFonts w:ascii="Aptos" w:hAnsi="Aptos"/>
                <w:color w:val="334155"/>
                <w:sz w:val="16"/>
              </w:rPr>
              <w:t>Deploy PolicyWallet Contract</w:t>
            </w:r>
          </w:p>
        </w:tc>
        <w:tc>
          <w:tcPr>
            <w:tcW w:type="dxa" w:w="1872"/>
            <w:vAlign w:val="center"/>
            <w:tcMar>
              <w:top w:w="90" w:type="dxa"/>
              <w:start w:w="110" w:type="dxa"/>
              <w:bottom w:w="90" w:type="dxa"/>
              <w:end w:w="110" w:type="dxa"/>
            </w:tcMar>
          </w:tcPr>
          <w:p>
            <w:pPr>
              <w:spacing w:after="0" w:before="0"/>
            </w:pPr>
            <w:r>
              <w:rPr>
                <w:rFonts w:ascii="Aptos" w:hAnsi="Aptos"/>
                <w:color w:val="334155"/>
                <w:sz w:val="16"/>
              </w:rPr>
              <w:t>#48349779</w:t>
            </w:r>
          </w:p>
        </w:tc>
        <w:tc>
          <w:tcPr>
            <w:tcW w:type="dxa" w:w="1872"/>
            <w:vAlign w:val="center"/>
            <w:tcMar>
              <w:top w:w="90" w:type="dxa"/>
              <w:start w:w="110" w:type="dxa"/>
              <w:bottom w:w="90" w:type="dxa"/>
              <w:end w:w="110" w:type="dxa"/>
            </w:tcMar>
          </w:tcPr>
          <w:p>
            <w:pPr>
              <w:spacing w:after="0" w:before="0"/>
            </w:pPr>
            <w:r>
              <w:rPr>
                <w:rFonts w:ascii="Aptos" w:hAnsi="Aptos"/>
                <w:color w:val="334155"/>
                <w:sz w:val="16"/>
              </w:rPr>
              <w:t>2,025,439</w:t>
            </w:r>
          </w:p>
        </w:tc>
        <w:tc>
          <w:tcPr>
            <w:tcW w:type="dxa" w:w="1872"/>
            <w:vAlign w:val="center"/>
            <w:tcMar>
              <w:top w:w="90" w:type="dxa"/>
              <w:start w:w="110" w:type="dxa"/>
              <w:bottom w:w="90" w:type="dxa"/>
              <w:end w:w="110" w:type="dxa"/>
            </w:tcMar>
          </w:tcPr>
          <w:p>
            <w:pPr>
              <w:spacing w:after="0" w:before="0"/>
            </w:pPr>
            <w:r>
              <w:rPr>
                <w:rFonts w:ascii="Aptos" w:hAnsi="Aptos"/>
                <w:color w:val="334155"/>
                <w:sz w:val="16"/>
              </w:rPr>
              <w:t>https://sepolia.basescan.org/tx/b3a5e3044fa1ed5f0b40da4573bd1a6f68e2dd6290bfb17f7693b7a705624a40</w:t>
            </w:r>
          </w:p>
        </w:tc>
      </w:tr>
      <w:tr>
        <w:tc>
          <w:tcPr>
            <w:tcW w:type="dxa" w:w="1872"/>
            <w:vAlign w:val="center"/>
            <w:tcMar>
              <w:top w:w="90" w:type="dxa"/>
              <w:start w:w="110" w:type="dxa"/>
              <w:bottom w:w="90" w:type="dxa"/>
              <w:end w:w="110" w:type="dxa"/>
            </w:tcMar>
            <w:shd w:fill="F8FAFC"/>
          </w:tcPr>
          <w:p>
            <w:pPr>
              <w:spacing w:after="0" w:before="0"/>
            </w:pPr>
            <w:r>
              <w:rPr>
                <w:rFonts w:ascii="Aptos" w:hAnsi="Aptos"/>
                <w:color w:val="334155"/>
                <w:sz w:val="16"/>
              </w:rPr>
              <w:t>2</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6"/>
              </w:rPr>
              <w:t>Set Verified Policy (setPolicy)</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6"/>
              </w:rPr>
              <w:t>#48349781</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6"/>
              </w:rPr>
              <w:t>160,292</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6"/>
              </w:rPr>
              <w:t>https://sepolia.basescan.org/tx/42a5e6e3140a3954e118cc8961a322a65cded9dd60e64a0538805d704e6c6400</w:t>
            </w:r>
          </w:p>
        </w:tc>
      </w:tr>
      <w:tr>
        <w:tc>
          <w:tcPr>
            <w:tcW w:type="dxa" w:w="1872"/>
            <w:vAlign w:val="center"/>
            <w:tcMar>
              <w:top w:w="90" w:type="dxa"/>
              <w:start w:w="110" w:type="dxa"/>
              <w:bottom w:w="90" w:type="dxa"/>
              <w:end w:w="110" w:type="dxa"/>
            </w:tcMar>
          </w:tcPr>
          <w:p>
            <w:pPr>
              <w:spacing w:after="0" w:before="0"/>
            </w:pPr>
            <w:r>
              <w:rPr>
                <w:rFonts w:ascii="Aptos" w:hAnsi="Aptos"/>
                <w:color w:val="334155"/>
                <w:sz w:val="16"/>
              </w:rPr>
              <w:t>3</w:t>
            </w:r>
          </w:p>
        </w:tc>
        <w:tc>
          <w:tcPr>
            <w:tcW w:type="dxa" w:w="1872"/>
            <w:vAlign w:val="center"/>
            <w:tcMar>
              <w:top w:w="90" w:type="dxa"/>
              <w:start w:w="110" w:type="dxa"/>
              <w:bottom w:w="90" w:type="dxa"/>
              <w:end w:w="110" w:type="dxa"/>
            </w:tcMar>
          </w:tcPr>
          <w:p>
            <w:pPr>
              <w:spacing w:after="0" w:before="0"/>
            </w:pPr>
            <w:r>
              <w:rPr>
                <w:rFonts w:ascii="Aptos" w:hAnsi="Aptos"/>
                <w:color w:val="334155"/>
                <w:sz w:val="16"/>
              </w:rPr>
              <w:t>Emergency Pause Killswitch (pause)</w:t>
            </w:r>
          </w:p>
        </w:tc>
        <w:tc>
          <w:tcPr>
            <w:tcW w:type="dxa" w:w="1872"/>
            <w:vAlign w:val="center"/>
            <w:tcMar>
              <w:top w:w="90" w:type="dxa"/>
              <w:start w:w="110" w:type="dxa"/>
              <w:bottom w:w="90" w:type="dxa"/>
              <w:end w:w="110" w:type="dxa"/>
            </w:tcMar>
          </w:tcPr>
          <w:p>
            <w:pPr>
              <w:spacing w:after="0" w:before="0"/>
            </w:pPr>
            <w:r>
              <w:rPr>
                <w:rFonts w:ascii="Aptos" w:hAnsi="Aptos"/>
                <w:color w:val="334155"/>
                <w:sz w:val="16"/>
              </w:rPr>
              <w:t>#48349783</w:t>
            </w:r>
          </w:p>
        </w:tc>
        <w:tc>
          <w:tcPr>
            <w:tcW w:type="dxa" w:w="1872"/>
            <w:vAlign w:val="center"/>
            <w:tcMar>
              <w:top w:w="90" w:type="dxa"/>
              <w:start w:w="110" w:type="dxa"/>
              <w:bottom w:w="90" w:type="dxa"/>
              <w:end w:w="110" w:type="dxa"/>
            </w:tcMar>
          </w:tcPr>
          <w:p>
            <w:pPr>
              <w:spacing w:after="0" w:before="0"/>
            </w:pPr>
            <w:r>
              <w:rPr>
                <w:rFonts w:ascii="Aptos" w:hAnsi="Aptos"/>
                <w:color w:val="334155"/>
                <w:sz w:val="16"/>
              </w:rPr>
              <w:t>45,073</w:t>
            </w:r>
          </w:p>
        </w:tc>
        <w:tc>
          <w:tcPr>
            <w:tcW w:type="dxa" w:w="1872"/>
            <w:vAlign w:val="center"/>
            <w:tcMar>
              <w:top w:w="90" w:type="dxa"/>
              <w:start w:w="110" w:type="dxa"/>
              <w:bottom w:w="90" w:type="dxa"/>
              <w:end w:w="110" w:type="dxa"/>
            </w:tcMar>
          </w:tcPr>
          <w:p>
            <w:pPr>
              <w:spacing w:after="0" w:before="0"/>
            </w:pPr>
            <w:r>
              <w:rPr>
                <w:rFonts w:ascii="Aptos" w:hAnsi="Aptos"/>
                <w:color w:val="334155"/>
                <w:sz w:val="16"/>
              </w:rPr>
              <w:t>https://sepolia.basescan.org/tx/dd853edcaa73408046a2aff4c5b0f92d94d8ae805a433d66c3eb210bf67bd9a3</w:t>
            </w:r>
          </w:p>
        </w:tc>
      </w:tr>
      <w:tr>
        <w:tc>
          <w:tcPr>
            <w:tcW w:type="dxa" w:w="1872"/>
            <w:vAlign w:val="center"/>
            <w:tcMar>
              <w:top w:w="90" w:type="dxa"/>
              <w:start w:w="110" w:type="dxa"/>
              <w:bottom w:w="90" w:type="dxa"/>
              <w:end w:w="110" w:type="dxa"/>
            </w:tcMar>
            <w:shd w:fill="F8FAFC"/>
          </w:tcPr>
          <w:p>
            <w:pPr>
              <w:spacing w:after="0" w:before="0"/>
            </w:pPr>
            <w:r>
              <w:rPr>
                <w:rFonts w:ascii="Aptos" w:hAnsi="Aptos"/>
                <w:color w:val="334155"/>
                <w:sz w:val="16"/>
              </w:rPr>
              <w:t>4</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6"/>
              </w:rPr>
              <w:t>Lift Emergency Pause (unpause)</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6"/>
              </w:rPr>
              <w:t>#48349785</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6"/>
              </w:rPr>
              <w:t>23,194</w:t>
            </w:r>
          </w:p>
        </w:tc>
        <w:tc>
          <w:tcPr>
            <w:tcW w:type="dxa" w:w="1872"/>
            <w:vAlign w:val="center"/>
            <w:tcMar>
              <w:top w:w="90" w:type="dxa"/>
              <w:start w:w="110" w:type="dxa"/>
              <w:bottom w:w="90" w:type="dxa"/>
              <w:end w:w="110" w:type="dxa"/>
            </w:tcMar>
            <w:shd w:fill="F8FAFC"/>
          </w:tcPr>
          <w:p>
            <w:pPr>
              <w:spacing w:after="0" w:before="0"/>
            </w:pPr>
            <w:r>
              <w:rPr>
                <w:rFonts w:ascii="Aptos" w:hAnsi="Aptos"/>
                <w:color w:val="334155"/>
                <w:sz w:val="16"/>
              </w:rPr>
              <w:t>https://sepolia.basescan.org/tx/38fca19438151fe9f56f206cd285c8a23a365fae771650f659232e53cc738822</w:t>
            </w:r>
          </w:p>
        </w:tc>
      </w:tr>
      <w:tr>
        <w:tc>
          <w:tcPr>
            <w:tcW w:type="dxa" w:w="1872"/>
            <w:vAlign w:val="center"/>
            <w:tcMar>
              <w:top w:w="90" w:type="dxa"/>
              <w:start w:w="110" w:type="dxa"/>
              <w:bottom w:w="90" w:type="dxa"/>
              <w:end w:w="110" w:type="dxa"/>
            </w:tcMar>
          </w:tcPr>
          <w:p>
            <w:pPr>
              <w:spacing w:after="0" w:before="0"/>
            </w:pPr>
            <w:r>
              <w:rPr>
                <w:rFonts w:ascii="Aptos" w:hAnsi="Aptos"/>
                <w:color w:val="334155"/>
                <w:sz w:val="16"/>
              </w:rPr>
              <w:t>5</w:t>
            </w:r>
          </w:p>
        </w:tc>
        <w:tc>
          <w:tcPr>
            <w:tcW w:type="dxa" w:w="1872"/>
            <w:vAlign w:val="center"/>
            <w:tcMar>
              <w:top w:w="90" w:type="dxa"/>
              <w:start w:w="110" w:type="dxa"/>
              <w:bottom w:w="90" w:type="dxa"/>
              <w:end w:w="110" w:type="dxa"/>
            </w:tcMar>
          </w:tcPr>
          <w:p>
            <w:pPr>
              <w:spacing w:after="0" w:before="0"/>
            </w:pPr>
            <w:r>
              <w:rPr>
                <w:rFonts w:ascii="Aptos" w:hAnsi="Aptos"/>
                <w:color w:val="334155"/>
                <w:sz w:val="16"/>
              </w:rPr>
              <w:t>Authorize Operator (setOperator)</w:t>
            </w:r>
          </w:p>
        </w:tc>
        <w:tc>
          <w:tcPr>
            <w:tcW w:type="dxa" w:w="1872"/>
            <w:vAlign w:val="center"/>
            <w:tcMar>
              <w:top w:w="90" w:type="dxa"/>
              <w:start w:w="110" w:type="dxa"/>
              <w:bottom w:w="90" w:type="dxa"/>
              <w:end w:w="110" w:type="dxa"/>
            </w:tcMar>
          </w:tcPr>
          <w:p>
            <w:pPr>
              <w:spacing w:after="0" w:before="0"/>
            </w:pPr>
            <w:r>
              <w:rPr>
                <w:rFonts w:ascii="Aptos" w:hAnsi="Aptos"/>
                <w:color w:val="334155"/>
                <w:sz w:val="16"/>
              </w:rPr>
              <w:t>#48349787</w:t>
            </w:r>
          </w:p>
        </w:tc>
        <w:tc>
          <w:tcPr>
            <w:tcW w:type="dxa" w:w="1872"/>
            <w:vAlign w:val="center"/>
            <w:tcMar>
              <w:top w:w="90" w:type="dxa"/>
              <w:start w:w="110" w:type="dxa"/>
              <w:bottom w:w="90" w:type="dxa"/>
              <w:end w:w="110" w:type="dxa"/>
            </w:tcMar>
          </w:tcPr>
          <w:p>
            <w:pPr>
              <w:spacing w:after="0" w:before="0"/>
            </w:pPr>
            <w:r>
              <w:rPr>
                <w:rFonts w:ascii="Aptos" w:hAnsi="Aptos"/>
                <w:color w:val="334155"/>
                <w:sz w:val="16"/>
              </w:rPr>
              <w:t>46,087</w:t>
            </w:r>
          </w:p>
        </w:tc>
        <w:tc>
          <w:tcPr>
            <w:tcW w:type="dxa" w:w="1872"/>
            <w:vAlign w:val="center"/>
            <w:tcMar>
              <w:top w:w="90" w:type="dxa"/>
              <w:start w:w="110" w:type="dxa"/>
              <w:bottom w:w="90" w:type="dxa"/>
              <w:end w:w="110" w:type="dxa"/>
            </w:tcMar>
          </w:tcPr>
          <w:p>
            <w:pPr>
              <w:spacing w:after="0" w:before="0"/>
            </w:pPr>
            <w:r>
              <w:rPr>
                <w:rFonts w:ascii="Aptos" w:hAnsi="Aptos"/>
                <w:color w:val="334155"/>
                <w:sz w:val="16"/>
              </w:rPr>
              <w:t>https://sepolia.basescan.org/tx/e7da3881004d6b7cd14fae51a6900c5904c1039e608a3fd2f8057fe1635f690f</w:t>
            </w:r>
          </w:p>
        </w:tc>
      </w:tr>
    </w:tbl>
    <w:p>
      <w:pPr>
        <w:spacing w:before="40" w:after="80"/>
      </w:pPr>
    </w:p>
    <w:p>
      <w:pPr>
        <w:pStyle w:val="Heading2"/>
        <w:keepNext/>
      </w:pPr>
      <w:r>
        <w:t>Dual-Mode Architecture: Live On-Chain &amp; Deterministic Sandbox</w:t>
      </w:r>
    </w:p>
    <w:p>
      <w:pPr>
        <w:spacing w:after="100" w:line="276" w:lineRule="auto"/>
      </w:pPr>
      <w:r>
        <w:rPr>
          <w:rFonts w:ascii="Aptos" w:hAnsi="Aptos"/>
          <w:color w:val="334155"/>
        </w:rPr>
        <w:t>The WalletAgent (Orvilo) platform supports both live Web3 on-chain broadcasting and offline deterministic sandbox simulation. When configured with AGENT_PRIVATE_KEY and WALLET_CONTRACT_ADDRESS, the Flask UI and autonomous runtime broadcast signed transactions to Base Sepolia in real time. If offline or unconfigured, the system gracefully falls back to local EVM simulation, guaranteeing safe offline evaluation.</w:t>
      </w:r>
    </w:p>
    <w:p>
      <w:pPr>
        <w:pStyle w:val="Heading1"/>
        <w:keepNext/>
      </w:pPr>
      <w:r>
        <w:t>6. Automated Test Suite Evidence (EV-TEST-01)</w:t>
      </w:r>
    </w:p>
    <w:p>
      <w:pPr>
        <w:spacing w:after="100" w:line="276" w:lineRule="auto"/>
      </w:pPr>
      <w:r>
        <w:rPr>
          <w:rFonts w:ascii="Aptos" w:hAnsi="Aptos"/>
          <w:color w:val="334155"/>
        </w:rPr>
        <w:t>The repository automated regression suite verifies policy compilation, Z3 formal verification, mathematical equivalence, AST sorts, reasoning dry-runs, exchange WebSocket connectivity, scorecard security features, and the conversational assistant:</w:t>
      </w:r>
    </w:p>
    <w:p>
      <w:pPr>
        <w:spacing w:before="80" w:after="140" w:line="252" w:lineRule="auto"/>
        <w:ind w:left="216" w:right="216"/>
        <w:shd w:fill="F8FAFC"/>
        <w:pBdr>
          <w:top w:val="single" w:sz="6" w:space="5" w:color="E2E8F0"/>
          <w:left w:val="single" w:sz="6" w:space="5" w:color="E2E8F0"/>
          <w:bottom w:val="single" w:sz="6" w:space="5" w:color="E2E8F0"/>
          <w:right w:val="single" w:sz="6" w:space="5" w:color="E2E8F0"/>
        </w:pBdr>
      </w:pPr>
      <w:r>
        <w:rPr>
          <w:rFonts w:ascii="Consolas" w:hAnsi="Consolas"/>
          <w:color w:val="1E293B"/>
          <w:sz w:val="17"/>
        </w:rPr>
        <w:t>PYTHONPATH=. .venv/bin/python -m pytest -q</w:t>
      </w:r>
    </w:p>
    <w:p>
      <w:pPr>
        <w:spacing w:before="80" w:after="140" w:line="252" w:lineRule="auto"/>
        <w:ind w:left="216" w:right="216"/>
        <w:shd w:fill="F8FAFC"/>
        <w:pBdr>
          <w:top w:val="single" w:sz="6" w:space="5" w:color="E2E8F0"/>
          <w:left w:val="single" w:sz="6" w:space="5" w:color="E2E8F0"/>
          <w:bottom w:val="single" w:sz="6" w:space="5" w:color="E2E8F0"/>
          <w:right w:val="single" w:sz="6" w:space="5" w:color="E2E8F0"/>
        </w:pBdr>
      </w:pPr>
      <w:r>
        <w:rPr>
          <w:rFonts w:ascii="Consolas" w:hAnsi="Consolas"/>
          <w:color w:val="1E293B"/>
          <w:sz w:val="17"/>
        </w:rPr>
        <w:t>============================= test session starts ==============================</w:t>
      </w:r>
      <w:r>
        <w:br/>
      </w:r>
      <w:r>
        <w:rPr>
          <w:rFonts w:ascii="Consolas" w:hAnsi="Consolas"/>
          <w:color w:val="1E293B"/>
          <w:sz w:val="17"/>
        </w:rPr>
        <w:t>platform linux -- Python 3.14.7, pytest-9.1.1, pluggy-1.7.0</w:t>
      </w:r>
      <w:r>
        <w:br/>
      </w:r>
      <w:r>
        <w:rPr>
          <w:rFonts w:ascii="Consolas" w:hAnsi="Consolas"/>
          <w:color w:val="1E293B"/>
          <w:sz w:val="17"/>
        </w:rPr>
        <w:t>rootdir: /home/immo2n/Moon/WalletAgent</w:t>
      </w:r>
      <w:r>
        <w:br/>
      </w:r>
      <w:r>
        <w:rPr>
          <w:rFonts w:ascii="Consolas" w:hAnsi="Consolas"/>
          <w:color w:val="1E293B"/>
          <w:sz w:val="17"/>
        </w:rPr>
        <w:t>plugins: anyio-4.15.1, langsmith-0.14.11</w:t>
      </w:r>
      <w:r>
        <w:br/>
      </w:r>
      <w:r>
        <w:rPr>
          <w:rFonts w:ascii="Consolas" w:hAnsi="Consolas"/>
          <w:color w:val="1E293B"/>
          <w:sz w:val="17"/>
        </w:rPr>
        <w:t>collected 94 items</w:t>
      </w:r>
      <w:r>
        <w:br/>
      </w:r>
      <w:r>
        <w:rPr>
          <w:rFonts w:ascii="Consolas" w:hAnsi="Consolas"/>
          <w:color w:val="1E293B"/>
          <w:sz w:val="17"/>
        </w:rPr>
      </w:r>
      <w:r>
        <w:br/>
      </w:r>
      <w:r>
        <w:rPr>
          <w:rFonts w:ascii="Consolas" w:hAnsi="Consolas"/>
          <w:color w:val="1E293B"/>
          <w:sz w:val="17"/>
        </w:rPr>
        <w:t>tests/policy/test_compile_compare.py ...                                 [  3%]</w:t>
      </w:r>
      <w:r>
        <w:br/>
      </w:r>
      <w:r>
        <w:rPr>
          <w:rFonts w:ascii="Consolas" w:hAnsi="Consolas"/>
          <w:color w:val="1E293B"/>
          <w:sz w:val="17"/>
        </w:rPr>
        <w:t>tests/policy/test_loop.py ......                                         [  9%]</w:t>
      </w:r>
      <w:r>
        <w:br/>
      </w:r>
      <w:r>
        <w:rPr>
          <w:rFonts w:ascii="Consolas" w:hAnsi="Consolas"/>
          <w:color w:val="1E293B"/>
          <w:sz w:val="17"/>
        </w:rPr>
        <w:t>tests/policy/test_mutations.py ...........                               [ 21%]</w:t>
      </w:r>
      <w:r>
        <w:br/>
      </w:r>
      <w:r>
        <w:rPr>
          <w:rFonts w:ascii="Consolas" w:hAnsi="Consolas"/>
          <w:color w:val="1E293B"/>
          <w:sz w:val="17"/>
        </w:rPr>
        <w:t>tests/policy/test_paraphrase_hash.py ...                                 [ 24%]</w:t>
      </w:r>
      <w:r>
        <w:br/>
      </w:r>
      <w:r>
        <w:rPr>
          <w:rFonts w:ascii="Consolas" w:hAnsi="Consolas"/>
          <w:color w:val="1E293B"/>
          <w:sz w:val="17"/>
        </w:rPr>
        <w:t>tests/policy/test_prompts_t1.py ..........                               [ 35%]</w:t>
      </w:r>
      <w:r>
        <w:br/>
      </w:r>
      <w:r>
        <w:rPr>
          <w:rFonts w:ascii="Consolas" w:hAnsi="Consolas"/>
          <w:color w:val="1E293B"/>
          <w:sz w:val="17"/>
        </w:rPr>
        <w:t>tests/policy/test_readback.py ..                                         [ 37%]</w:t>
      </w:r>
      <w:r>
        <w:br/>
      </w:r>
      <w:r>
        <w:rPr>
          <w:rFonts w:ascii="Consolas" w:hAnsi="Consolas"/>
          <w:color w:val="1E293B"/>
          <w:sz w:val="17"/>
        </w:rPr>
        <w:t>tests/policy/test_readers_llm_mock.py ...                                [ 40%]</w:t>
      </w:r>
      <w:r>
        <w:br/>
      </w:r>
      <w:r>
        <w:rPr>
          <w:rFonts w:ascii="Consolas" w:hAnsi="Consolas"/>
          <w:color w:val="1E293B"/>
          <w:sz w:val="17"/>
        </w:rPr>
        <w:t>tests/policy/test_readers_rule.py .........                              [ 50%]</w:t>
      </w:r>
      <w:r>
        <w:br/>
      </w:r>
      <w:r>
        <w:rPr>
          <w:rFonts w:ascii="Consolas" w:hAnsi="Consolas"/>
          <w:color w:val="1E293B"/>
          <w:sz w:val="17"/>
        </w:rPr>
        <w:t>tests/policy/test_sanity.py ....                                         [ 54%]</w:t>
      </w:r>
      <w:r>
        <w:br/>
      </w:r>
      <w:r>
        <w:rPr>
          <w:rFonts w:ascii="Consolas" w:hAnsi="Consolas"/>
          <w:color w:val="1E293B"/>
          <w:sz w:val="17"/>
        </w:rPr>
        <w:t>tests/policy/test_sorts_ast.py ....                                      [ 58%]</w:t>
      </w:r>
      <w:r>
        <w:br/>
      </w:r>
      <w:r>
        <w:rPr>
          <w:rFonts w:ascii="Consolas" w:hAnsi="Consolas"/>
          <w:color w:val="1E293B"/>
          <w:sz w:val="17"/>
        </w:rPr>
        <w:t>tests/policy/test_typecheck.py .....                                     [ 63%]</w:t>
      </w:r>
      <w:r>
        <w:br/>
      </w:r>
      <w:r>
        <w:rPr>
          <w:rFonts w:ascii="Consolas" w:hAnsi="Consolas"/>
          <w:color w:val="1E293B"/>
          <w:sz w:val="17"/>
        </w:rPr>
        <w:t>tests/test_agent.py ....                                                 [ 68%]</w:t>
      </w:r>
      <w:r>
        <w:br/>
      </w:r>
      <w:r>
        <w:rPr>
          <w:rFonts w:ascii="Consolas" w:hAnsi="Consolas"/>
          <w:color w:val="1E293B"/>
          <w:sz w:val="17"/>
        </w:rPr>
        <w:t>tests/test_assistant.py ....                                             [ 72%]</w:t>
      </w:r>
      <w:r>
        <w:br/>
      </w:r>
      <w:r>
        <w:rPr>
          <w:rFonts w:ascii="Consolas" w:hAnsi="Consolas"/>
          <w:color w:val="1E293B"/>
          <w:sz w:val="17"/>
        </w:rPr>
        <w:t>tests/test_exchange.py ...                                               [ 75%]</w:t>
      </w:r>
      <w:r>
        <w:br/>
      </w:r>
      <w:r>
        <w:rPr>
          <w:rFonts w:ascii="Consolas" w:hAnsi="Consolas"/>
          <w:color w:val="1E293B"/>
          <w:sz w:val="17"/>
        </w:rPr>
        <w:t>tests/test_reasoning.py ........                                         [ 84%]</w:t>
      </w:r>
      <w:r>
        <w:br/>
      </w:r>
      <w:r>
        <w:rPr>
          <w:rFonts w:ascii="Consolas" w:hAnsi="Consolas"/>
          <w:color w:val="1E293B"/>
          <w:sz w:val="17"/>
        </w:rPr>
        <w:t>tests/test_scorecard_features.py ...........                             [ 95%]</w:t>
      </w:r>
      <w:r>
        <w:br/>
      </w:r>
      <w:r>
        <w:rPr>
          <w:rFonts w:ascii="Consolas" w:hAnsi="Consolas"/>
          <w:color w:val="1E293B"/>
          <w:sz w:val="17"/>
        </w:rPr>
        <w:t>tests/test_user_db.py ....                                               [100%]</w:t>
      </w:r>
      <w:r>
        <w:br/>
      </w:r>
      <w:r>
        <w:rPr>
          <w:rFonts w:ascii="Consolas" w:hAnsi="Consolas"/>
          <w:color w:val="1E293B"/>
          <w:sz w:val="17"/>
        </w:rPr>
      </w:r>
      <w:r>
        <w:br/>
      </w:r>
      <w:r>
        <w:rPr>
          <w:rFonts w:ascii="Consolas" w:hAnsi="Consolas"/>
          <w:color w:val="1E293B"/>
          <w:sz w:val="17"/>
        </w:rPr>
        <w:t>============================= 94 passed in 17.09s ==============================</w:t>
      </w:r>
    </w:p>
    <w:p>
      <w:pPr>
        <w:spacing w:after="100" w:line="276" w:lineRule="auto"/>
      </w:pPr>
      <w:r>
        <w:rPr>
          <w:rFonts w:ascii="Aptos" w:hAnsi="Aptos"/>
          <w:color w:val="334155"/>
        </w:rPr>
        <w:t>Result: 94 passed in 17.09 seconds. Zero errors, zero failures, zero deprecation regressions.</w:t>
      </w:r>
    </w:p>
    <w:p>
      <w:pPr>
        <w:pStyle w:val="Heading1"/>
        <w:keepNext/>
      </w:pPr>
      <w:r>
        <w:t>7. Demo Video &amp; Evidence Walkthrough (EV-VIDEO-01)</w:t>
      </w:r>
    </w:p>
    <w:p>
      <w:pPr>
        <w:spacing w:after="100" w:line="276" w:lineRule="auto"/>
      </w:pPr>
      <w:r>
        <w:rPr>
          <w:rFonts w:ascii="Aptos" w:hAnsi="Aptos"/>
          <w:color w:val="334155"/>
        </w:rPr>
        <w:t>The 5-minute video demonstration follows the script specified in video-script.txt for the 2026 Shenzhen International FinTech Competition (FinTechathon Topic F):</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2340"/>
        <w:gridCol w:w="2340"/>
        <w:gridCol w:w="2340"/>
        <w:gridCol w:w="2340"/>
      </w:tblGrid>
      <w:tr>
        <w:trPr>
          <w:tblHeader w:val="true"/>
        </w:trPr>
        <w:tc>
          <w:tcPr>
            <w:tcW w:type="dxa" w:w="1440"/>
            <w:shd w:fill="17324D"/>
            <w:tcMar>
              <w:top w:w="120" w:type="dxa"/>
              <w:start w:w="120" w:type="dxa"/>
              <w:bottom w:w="120" w:type="dxa"/>
              <w:end w:w="120" w:type="dxa"/>
            </w:tcMar>
            <w:vAlign w:val="center"/>
          </w:tcPr>
          <w:p>
            <w:pPr>
              <w:spacing w:after="0" w:before="0"/>
            </w:pPr>
            <w:r>
              <w:rPr>
                <w:rFonts w:ascii="Aptos" w:hAnsi="Aptos"/>
                <w:b/>
                <w:color w:val="FFFFFF"/>
                <w:sz w:val="16"/>
              </w:rPr>
              <w:t>Timestamp</w:t>
            </w:r>
          </w:p>
        </w:tc>
        <w:tc>
          <w:tcPr>
            <w:tcW w:type="dxa" w:w="4608"/>
            <w:shd w:fill="17324D"/>
            <w:tcMar>
              <w:top w:w="120" w:type="dxa"/>
              <w:start w:w="120" w:type="dxa"/>
              <w:bottom w:w="120" w:type="dxa"/>
              <w:end w:w="120" w:type="dxa"/>
            </w:tcMar>
            <w:vAlign w:val="center"/>
          </w:tcPr>
          <w:p>
            <w:pPr>
              <w:spacing w:after="0" w:before="0"/>
            </w:pPr>
            <w:r>
              <w:rPr>
                <w:rFonts w:ascii="Aptos" w:hAnsi="Aptos"/>
                <w:b/>
                <w:color w:val="FFFFFF"/>
                <w:sz w:val="16"/>
              </w:rPr>
              <w:t>Content Presented</w:t>
            </w:r>
          </w:p>
        </w:tc>
        <w:tc>
          <w:tcPr>
            <w:tcW w:type="dxa" w:w="1728"/>
            <w:shd w:fill="17324D"/>
            <w:tcMar>
              <w:top w:w="120" w:type="dxa"/>
              <w:start w:w="120" w:type="dxa"/>
              <w:bottom w:w="120" w:type="dxa"/>
              <w:end w:w="120" w:type="dxa"/>
            </w:tcMar>
            <w:vAlign w:val="center"/>
          </w:tcPr>
          <w:p>
            <w:pPr>
              <w:spacing w:after="0" w:before="0"/>
            </w:pPr>
            <w:r>
              <w:rPr>
                <w:rFonts w:ascii="Aptos" w:hAnsi="Aptos"/>
                <w:b/>
                <w:color w:val="FFFFFF"/>
                <w:sz w:val="16"/>
              </w:rPr>
              <w:t>Evidence Scenario</w:t>
            </w:r>
          </w:p>
        </w:tc>
        <w:tc>
          <w:tcPr>
            <w:tcW w:type="dxa" w:w="1584"/>
            <w:shd w:fill="17324D"/>
            <w:tcMar>
              <w:top w:w="120" w:type="dxa"/>
              <w:start w:w="120" w:type="dxa"/>
              <w:bottom w:w="120" w:type="dxa"/>
              <w:end w:w="120" w:type="dxa"/>
            </w:tcMar>
            <w:vAlign w:val="center"/>
          </w:tcPr>
          <w:p>
            <w:pPr>
              <w:spacing w:after="0" w:before="0"/>
            </w:pPr>
            <w:r>
              <w:rPr>
                <w:rFonts w:ascii="Aptos" w:hAnsi="Aptos"/>
                <w:b/>
                <w:color w:val="FFFFFF"/>
                <w:sz w:val="16"/>
              </w:rPr>
              <w:t>Report Section</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00:00 - 00:45</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Welcome &amp; FinTechathon Challenge: AI safety problem and why the AI is not the security boundary.</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System Context</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Section 1</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00:45 - 01:30</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Dual-Reader Grammar &amp; Z3 Formal Verification: Proving mathematical equivalence (SAT) across natural language.</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F1, F3 Compiler</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Section 3</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01:30 - 02:00</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Policy Review &amp; Multi-Stage Approval Stepper: Progressing proposal from DRAFT to ACTIVE.</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EE-04</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Section 5</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02:00 - 02:45</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Autonomous DCA Execution &amp; Reasoning Proof: Coinbase live price feed, gas preflight, and balance ledger update.</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EE-01</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Section 5</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02:45 - 03:30</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Emergency Defense Center: Killswitch engagement, operator permission revocation, and high-gas rejection.</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EE-05, EE-06</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Section 5</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03:30 - 04:15</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Adversarial Attack Suite: 6/6 Exploits blocked on-chain with typed Solidity custom errors.</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EE-07</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Section 5</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04:15 - 04:45</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Conversational Co-Pilot: Real-time anomaly transaction auditing and active task explanation.</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Assistant Engine</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Section 3</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04:45 - 05:00</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Conclusion: Non-on-chain sandbox classification disclosure and 94/94 test verification.</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EV-TEST-01</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Section 6, 7</w:t>
            </w:r>
          </w:p>
        </w:tc>
      </w:tr>
    </w:tbl>
    <w:p>
      <w:pPr>
        <w:spacing w:before="40" w:after="80"/>
      </w:pPr>
    </w:p>
    <w:p>
      <w:pPr>
        <w:pStyle w:val="Heading1"/>
        <w:keepNext/>
      </w:pPr>
      <w:r>
        <w:t>8. Findings &amp; Recommended Remediation Register</w:t>
      </w:r>
    </w:p>
    <w:p>
      <w:pPr>
        <w:spacing w:after="100" w:line="276" w:lineRule="auto"/>
      </w:pPr>
      <w:r>
        <w:rPr>
          <w:rFonts w:ascii="Aptos" w:hAnsi="Aptos"/>
          <w:color w:val="334155"/>
        </w:rPr>
        <w:t>The evidence evaluation identified six technical findings. Each finding is prioritized with recommended remediations:</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2340"/>
        <w:gridCol w:w="2340"/>
        <w:gridCol w:w="2340"/>
        <w:gridCol w:w="2340"/>
      </w:tblGrid>
      <w:tr>
        <w:trPr>
          <w:tblHeader w:val="true"/>
        </w:trPr>
        <w:tc>
          <w:tcPr>
            <w:tcW w:type="dxa" w:w="864"/>
            <w:shd w:fill="17324D"/>
            <w:tcMar>
              <w:top w:w="120" w:type="dxa"/>
              <w:start w:w="120" w:type="dxa"/>
              <w:bottom w:w="120" w:type="dxa"/>
              <w:end w:w="120" w:type="dxa"/>
            </w:tcMar>
            <w:vAlign w:val="center"/>
          </w:tcPr>
          <w:p>
            <w:pPr>
              <w:spacing w:after="0" w:before="0"/>
            </w:pPr>
            <w:r>
              <w:rPr>
                <w:rFonts w:ascii="Aptos" w:hAnsi="Aptos"/>
                <w:b/>
                <w:color w:val="FFFFFF"/>
                <w:sz w:val="16"/>
              </w:rPr>
              <w:t>ID</w:t>
            </w:r>
          </w:p>
        </w:tc>
        <w:tc>
          <w:tcPr>
            <w:tcW w:type="dxa" w:w="3456"/>
            <w:shd w:fill="17324D"/>
            <w:tcMar>
              <w:top w:w="120" w:type="dxa"/>
              <w:start w:w="120" w:type="dxa"/>
              <w:bottom w:w="120" w:type="dxa"/>
              <w:end w:w="120" w:type="dxa"/>
            </w:tcMar>
            <w:vAlign w:val="center"/>
          </w:tcPr>
          <w:p>
            <w:pPr>
              <w:spacing w:after="0" w:before="0"/>
            </w:pPr>
            <w:r>
              <w:rPr>
                <w:rFonts w:ascii="Aptos" w:hAnsi="Aptos"/>
                <w:b/>
                <w:color w:val="FFFFFF"/>
                <w:sz w:val="16"/>
              </w:rPr>
              <w:t>Finding Description</w:t>
            </w:r>
          </w:p>
        </w:tc>
        <w:tc>
          <w:tcPr>
            <w:tcW w:type="dxa" w:w="1296"/>
            <w:shd w:fill="17324D"/>
            <w:tcMar>
              <w:top w:w="120" w:type="dxa"/>
              <w:start w:w="120" w:type="dxa"/>
              <w:bottom w:w="120" w:type="dxa"/>
              <w:end w:w="120" w:type="dxa"/>
            </w:tcMar>
            <w:vAlign w:val="center"/>
          </w:tcPr>
          <w:p>
            <w:pPr>
              <w:spacing w:after="0" w:before="0"/>
            </w:pPr>
            <w:r>
              <w:rPr>
                <w:rFonts w:ascii="Aptos" w:hAnsi="Aptos"/>
                <w:b/>
                <w:color w:val="FFFFFF"/>
                <w:sz w:val="16"/>
              </w:rPr>
              <w:t>Severity</w:t>
            </w:r>
          </w:p>
        </w:tc>
        <w:tc>
          <w:tcPr>
            <w:tcW w:type="dxa" w:w="3744"/>
            <w:shd w:fill="17324D"/>
            <w:tcMar>
              <w:top w:w="120" w:type="dxa"/>
              <w:start w:w="120" w:type="dxa"/>
              <w:bottom w:w="120" w:type="dxa"/>
              <w:end w:w="120" w:type="dxa"/>
            </w:tcMar>
            <w:vAlign w:val="center"/>
          </w:tcPr>
          <w:p>
            <w:pPr>
              <w:spacing w:after="0" w:before="0"/>
            </w:pPr>
            <w:r>
              <w:rPr>
                <w:rFonts w:ascii="Aptos" w:hAnsi="Aptos"/>
                <w:b/>
                <w:color w:val="FFFFFF"/>
                <w:sz w:val="16"/>
              </w:rPr>
              <w:t>Recommended Remediation</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F-01</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Revoked operator not gated in Python client (EE-06).</w:t>
            </w:r>
          </w:p>
        </w:tc>
        <w:tc>
          <w:tcPr>
            <w:tcW w:type="dxa" w:w="2340"/>
            <w:vAlign w:val="center"/>
            <w:tcMar>
              <w:top w:w="90" w:type="dxa"/>
              <w:start w:w="110" w:type="dxa"/>
              <w:bottom w:w="90" w:type="dxa"/>
              <w:end w:w="110" w:type="dxa"/>
            </w:tcMar>
            <w:shd w:fill="FEE2E2"/>
          </w:tcPr>
          <w:p>
            <w:pPr>
              <w:spacing w:after="0" w:before="0"/>
            </w:pPr>
            <w:r>
              <w:rPr>
                <w:rFonts w:ascii="Aptos" w:hAnsi="Aptos"/>
                <w:b/>
                <w:color w:val="991B1B"/>
                <w:sz w:val="16"/>
              </w:rPr>
              <w:t>HIGH</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Check authorized_operators[sender] prior to preflight simulation in wallet_client.py.</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F-02</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Synthetic receipts returned without distinct simulation prefix.</w:t>
            </w:r>
          </w:p>
        </w:tc>
        <w:tc>
          <w:tcPr>
            <w:tcW w:type="dxa" w:w="2340"/>
            <w:vAlign w:val="center"/>
            <w:tcMar>
              <w:top w:w="90" w:type="dxa"/>
              <w:start w:w="110" w:type="dxa"/>
              <w:bottom w:w="90" w:type="dxa"/>
              <w:end w:w="110" w:type="dxa"/>
            </w:tcMar>
            <w:shd w:fill="FEE2E2"/>
          </w:tcPr>
          <w:p>
            <w:pPr>
              <w:spacing w:after="0" w:before="0"/>
            </w:pPr>
            <w:r>
              <w:rPr>
                <w:rFonts w:ascii="Aptos" w:hAnsi="Aptos"/>
                <w:b/>
                <w:color w:val="991B1B"/>
                <w:sz w:val="16"/>
              </w:rPr>
              <w:t>HIGH</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Prefix returned transaction hashes with 'SIM_' to avoid explorer confusion.</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F-03</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Workflow approver identities are plain text strings.</w:t>
            </w:r>
          </w:p>
        </w:tc>
        <w:tc>
          <w:tcPr>
            <w:tcW w:type="dxa" w:w="2340"/>
            <w:vAlign w:val="center"/>
            <w:tcMar>
              <w:top w:w="90" w:type="dxa"/>
              <w:start w:w="110" w:type="dxa"/>
              <w:bottom w:w="90" w:type="dxa"/>
              <w:end w:w="110" w:type="dxa"/>
            </w:tcMar>
            <w:shd w:fill="FEF3C7"/>
          </w:tcPr>
          <w:p>
            <w:pPr>
              <w:spacing w:after="0" w:before="0"/>
            </w:pPr>
            <w:r>
              <w:rPr>
                <w:rFonts w:ascii="Aptos" w:hAnsi="Aptos"/>
                <w:b/>
                <w:color w:val="B45309"/>
                <w:sz w:val="16"/>
              </w:rPr>
              <w:t>MEDIUM</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Bind approval transitions to cryptographic ECDSA EIP-712 signatures.</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F-04</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Missing approval proposal expiration timestamps.</w:t>
            </w:r>
          </w:p>
        </w:tc>
        <w:tc>
          <w:tcPr>
            <w:tcW w:type="dxa" w:w="2340"/>
            <w:vAlign w:val="center"/>
            <w:tcMar>
              <w:top w:w="90" w:type="dxa"/>
              <w:start w:w="110" w:type="dxa"/>
              <w:bottom w:w="90" w:type="dxa"/>
              <w:end w:w="110" w:type="dxa"/>
            </w:tcMar>
            <w:shd w:fill="FEF3C7"/>
          </w:tcPr>
          <w:p>
            <w:pPr>
              <w:spacing w:after="0" w:before="0"/>
            </w:pPr>
            <w:r>
              <w:rPr>
                <w:rFonts w:ascii="Aptos" w:hAnsi="Aptos"/>
                <w:b/>
                <w:color w:val="B45309"/>
                <w:sz w:val="16"/>
              </w:rPr>
              <w:t>MEDIUM</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Add deadline block numbers and UTC expiration timestamps to policy proposals.</w:t>
            </w:r>
          </w:p>
        </w:tc>
      </w:tr>
      <w:tr>
        <w:tc>
          <w:tcPr>
            <w:tcW w:type="dxa" w:w="2340"/>
            <w:vAlign w:val="center"/>
            <w:tcMar>
              <w:top w:w="90" w:type="dxa"/>
              <w:start w:w="110" w:type="dxa"/>
              <w:bottom w:w="90" w:type="dxa"/>
              <w:end w:w="110" w:type="dxa"/>
            </w:tcMar>
          </w:tcPr>
          <w:p>
            <w:pPr>
              <w:spacing w:after="0" w:before="0"/>
            </w:pPr>
            <w:r>
              <w:rPr>
                <w:rFonts w:ascii="Aptos" w:hAnsi="Aptos"/>
                <w:color w:val="334155"/>
                <w:sz w:val="16"/>
              </w:rPr>
              <w:t>F-05</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Flask dashboard endpoints lack authentication.</w:t>
            </w:r>
          </w:p>
        </w:tc>
        <w:tc>
          <w:tcPr>
            <w:tcW w:type="dxa" w:w="2340"/>
            <w:vAlign w:val="center"/>
            <w:tcMar>
              <w:top w:w="90" w:type="dxa"/>
              <w:start w:w="110" w:type="dxa"/>
              <w:bottom w:w="90" w:type="dxa"/>
              <w:end w:w="110" w:type="dxa"/>
            </w:tcMar>
            <w:shd w:fill="FEF3C7"/>
          </w:tcPr>
          <w:p>
            <w:pPr>
              <w:spacing w:after="0" w:before="0"/>
            </w:pPr>
            <w:r>
              <w:rPr>
                <w:rFonts w:ascii="Aptos" w:hAnsi="Aptos"/>
                <w:b/>
                <w:color w:val="B45309"/>
                <w:sz w:val="16"/>
              </w:rPr>
              <w:t>MEDIUM</w:t>
            </w:r>
          </w:p>
        </w:tc>
        <w:tc>
          <w:tcPr>
            <w:tcW w:type="dxa" w:w="2340"/>
            <w:vAlign w:val="center"/>
            <w:tcMar>
              <w:top w:w="90" w:type="dxa"/>
              <w:start w:w="110" w:type="dxa"/>
              <w:bottom w:w="90" w:type="dxa"/>
              <w:end w:w="110" w:type="dxa"/>
            </w:tcMar>
          </w:tcPr>
          <w:p>
            <w:pPr>
              <w:spacing w:after="0" w:before="0"/>
            </w:pPr>
            <w:r>
              <w:rPr>
                <w:rFonts w:ascii="Aptos" w:hAnsi="Aptos"/>
                <w:color w:val="334155"/>
                <w:sz w:val="16"/>
              </w:rPr>
              <w:t>Add JWT / API key session authentication before deployment outside localhost.</w:t>
            </w:r>
          </w:p>
        </w:tc>
      </w:tr>
      <w:tr>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F-06</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Simulator default fallback when RPC is disconnected.</w:t>
            </w:r>
          </w:p>
        </w:tc>
        <w:tc>
          <w:tcPr>
            <w:tcW w:type="dxa" w:w="2340"/>
            <w:vAlign w:val="center"/>
            <w:tcMar>
              <w:top w:w="90" w:type="dxa"/>
              <w:start w:w="110" w:type="dxa"/>
              <w:bottom w:w="90" w:type="dxa"/>
              <w:end w:w="110" w:type="dxa"/>
            </w:tcMar>
            <w:shd w:fill="F0F7FF"/>
          </w:tcPr>
          <w:p>
            <w:pPr>
              <w:spacing w:after="0" w:before="0"/>
            </w:pPr>
            <w:r>
              <w:rPr>
                <w:rFonts w:ascii="Aptos" w:hAnsi="Aptos"/>
                <w:b/>
                <w:color w:val="1E5A88"/>
                <w:sz w:val="16"/>
              </w:rPr>
              <w:t>LOW</w:t>
            </w:r>
          </w:p>
        </w:tc>
        <w:tc>
          <w:tcPr>
            <w:tcW w:type="dxa" w:w="2340"/>
            <w:vAlign w:val="center"/>
            <w:tcMar>
              <w:top w:w="90" w:type="dxa"/>
              <w:start w:w="110" w:type="dxa"/>
              <w:bottom w:w="90" w:type="dxa"/>
              <w:end w:w="110" w:type="dxa"/>
            </w:tcMar>
            <w:shd w:fill="F8FAFC"/>
          </w:tcPr>
          <w:p>
            <w:pPr>
              <w:spacing w:after="0" w:before="0"/>
            </w:pPr>
            <w:r>
              <w:rPr>
                <w:rFonts w:ascii="Aptos" w:hAnsi="Aptos"/>
                <w:color w:val="334155"/>
                <w:sz w:val="16"/>
              </w:rPr>
              <w:t>Explicitly label returned simulation results as 'OFFLINE_FALLBACK' when RPC is unreachable.</w:t>
            </w:r>
          </w:p>
        </w:tc>
      </w:tr>
    </w:tbl>
    <w:p>
      <w:pPr>
        <w:spacing w:before="40" w:after="80"/>
      </w:pPr>
    </w:p>
    <w:p>
      <w:pPr>
        <w:pStyle w:val="Heading1"/>
        <w:keepNext/>
      </w:pPr>
      <w:r>
        <w:t>9. Reproduction Steps</w:t>
      </w:r>
    </w:p>
    <w:p>
      <w:pPr>
        <w:spacing w:after="100" w:line="276" w:lineRule="auto"/>
      </w:pPr>
      <w:r>
        <w:rPr>
          <w:rFonts w:ascii="Aptos" w:hAnsi="Aptos"/>
          <w:color w:val="334155"/>
        </w:rPr>
        <w:t>To independently reproduce all evidence records and verify cryptographic checksums:</w:t>
      </w:r>
    </w:p>
    <w:p>
      <w:pPr>
        <w:pStyle w:val="ListNumber"/>
        <w:spacing w:after="50"/>
      </w:pPr>
      <w:r>
        <w:rPr>
          <w:rFonts w:ascii="Aptos" w:hAnsi="Aptos"/>
          <w:color w:val="334155"/>
        </w:rPr>
        <w:t>Activate project virtual environment:</w:t>
      </w:r>
    </w:p>
    <w:p>
      <w:pPr>
        <w:spacing w:before="80" w:after="140" w:line="252" w:lineRule="auto"/>
        <w:ind w:left="216" w:right="216"/>
        <w:shd w:fill="F8FAFC"/>
        <w:pBdr>
          <w:top w:val="single" w:sz="6" w:space="5" w:color="E2E8F0"/>
          <w:left w:val="single" w:sz="6" w:space="5" w:color="E2E8F0"/>
          <w:bottom w:val="single" w:sz="6" w:space="5" w:color="E2E8F0"/>
          <w:right w:val="single" w:sz="6" w:space="5" w:color="E2E8F0"/>
        </w:pBdr>
      </w:pPr>
      <w:r>
        <w:rPr>
          <w:rFonts w:ascii="Consolas" w:hAnsi="Consolas"/>
          <w:color w:val="1E293B"/>
          <w:sz w:val="17"/>
        </w:rPr>
        <w:t>source .venv/bin/activate</w:t>
      </w:r>
    </w:p>
    <w:p>
      <w:pPr>
        <w:pStyle w:val="ListNumber"/>
        <w:spacing w:after="50"/>
      </w:pPr>
      <w:r>
        <w:rPr>
          <w:rFonts w:ascii="Aptos" w:hAnsi="Aptos"/>
          <w:color w:val="334155"/>
        </w:rPr>
        <w:t>Execute the complete automated test suite (94 passing tests):</w:t>
      </w:r>
    </w:p>
    <w:p>
      <w:pPr>
        <w:spacing w:before="80" w:after="140" w:line="252" w:lineRule="auto"/>
        <w:ind w:left="216" w:right="216"/>
        <w:shd w:fill="F8FAFC"/>
        <w:pBdr>
          <w:top w:val="single" w:sz="6" w:space="5" w:color="E2E8F0"/>
          <w:left w:val="single" w:sz="6" w:space="5" w:color="E2E8F0"/>
          <w:bottom w:val="single" w:sz="6" w:space="5" w:color="E2E8F0"/>
          <w:right w:val="single" w:sz="6" w:space="5" w:color="E2E8F0"/>
        </w:pBdr>
      </w:pPr>
      <w:r>
        <w:rPr>
          <w:rFonts w:ascii="Consolas" w:hAnsi="Consolas"/>
          <w:color w:val="1E293B"/>
          <w:sz w:val="17"/>
        </w:rPr>
        <w:t>PYTHONPATH=. pytest -q</w:t>
      </w:r>
    </w:p>
    <w:p>
      <w:pPr>
        <w:pStyle w:val="ListNumber"/>
        <w:spacing w:after="50"/>
      </w:pPr>
      <w:r>
        <w:rPr>
          <w:rFonts w:ascii="Aptos" w:hAnsi="Aptos"/>
          <w:color w:val="334155"/>
        </w:rPr>
        <w:t>Generate isolated execution evidence log:</w:t>
      </w:r>
    </w:p>
    <w:p>
      <w:pPr>
        <w:spacing w:before="80" w:after="140" w:line="252" w:lineRule="auto"/>
        <w:ind w:left="216" w:right="216"/>
        <w:shd w:fill="F8FAFC"/>
        <w:pBdr>
          <w:top w:val="single" w:sz="6" w:space="5" w:color="E2E8F0"/>
          <w:left w:val="single" w:sz="6" w:space="5" w:color="E2E8F0"/>
          <w:bottom w:val="single" w:sz="6" w:space="5" w:color="E2E8F0"/>
          <w:right w:val="single" w:sz="6" w:space="5" w:color="E2E8F0"/>
        </w:pBdr>
      </w:pPr>
      <w:r>
        <w:rPr>
          <w:rFonts w:ascii="Consolas" w:hAnsi="Consolas"/>
          <w:color w:val="1E293B"/>
          <w:sz w:val="17"/>
        </w:rPr>
        <w:t>python scripts/generate_execution_evidence.py</w:t>
      </w:r>
    </w:p>
    <w:p>
      <w:pPr>
        <w:pStyle w:val="ListNumber"/>
        <w:spacing w:after="50"/>
      </w:pPr>
      <w:r>
        <w:rPr>
          <w:rFonts w:ascii="Aptos" w:hAnsi="Aptos"/>
          <w:color w:val="334155"/>
        </w:rPr>
        <w:t>Verify SHA-256 evidence integrity sidecar:</w:t>
      </w:r>
    </w:p>
    <w:p>
      <w:pPr>
        <w:spacing w:before="80" w:after="140" w:line="252" w:lineRule="auto"/>
        <w:ind w:left="216" w:right="216"/>
        <w:shd w:fill="F8FAFC"/>
        <w:pBdr>
          <w:top w:val="single" w:sz="6" w:space="5" w:color="E2E8F0"/>
          <w:left w:val="single" w:sz="6" w:space="5" w:color="E2E8F0"/>
          <w:bottom w:val="single" w:sz="6" w:space="5" w:color="E2E8F0"/>
          <w:right w:val="single" w:sz="6" w:space="5" w:color="E2E8F0"/>
        </w:pBdr>
      </w:pPr>
      <w:r>
        <w:rPr>
          <w:rFonts w:ascii="Consolas" w:hAnsi="Consolas"/>
          <w:color w:val="1E293B"/>
          <w:sz w:val="17"/>
        </w:rPr>
        <w:t>sha256sum docs/evidence/execution-report/execution-evidence.json</w:t>
      </w:r>
    </w:p>
    <w:p>
      <w:pPr>
        <w:pStyle w:val="ListNumber"/>
        <w:spacing w:after="50"/>
      </w:pPr>
      <w:r>
        <w:rPr>
          <w:rFonts w:ascii="Aptos" w:hAnsi="Aptos"/>
          <w:color w:val="334155"/>
        </w:rPr>
        <w:t>Run Docker container smoke validation:</w:t>
      </w:r>
    </w:p>
    <w:p>
      <w:pPr>
        <w:spacing w:before="80" w:after="140" w:line="252" w:lineRule="auto"/>
        <w:ind w:left="216" w:right="216"/>
        <w:shd w:fill="F8FAFC"/>
        <w:pBdr>
          <w:top w:val="single" w:sz="6" w:space="5" w:color="E2E8F0"/>
          <w:left w:val="single" w:sz="6" w:space="5" w:color="E2E8F0"/>
          <w:bottom w:val="single" w:sz="6" w:space="5" w:color="E2E8F0"/>
          <w:right w:val="single" w:sz="6" w:space="5" w:color="E2E8F0"/>
        </w:pBdr>
      </w:pPr>
      <w:r>
        <w:rPr>
          <w:rFonts w:ascii="Consolas" w:hAnsi="Consolas"/>
          <w:color w:val="1E293B"/>
          <w:sz w:val="17"/>
        </w:rPr>
        <w:t>docker build -t orvilo:latest .</w:t>
      </w:r>
      <w:r>
        <w:br/>
      </w:r>
      <w:r>
        <w:rPr>
          <w:rFonts w:ascii="Consolas" w:hAnsi="Consolas"/>
          <w:color w:val="1E293B"/>
          <w:sz w:val="17"/>
        </w:rPr>
        <w:t>docker run -d --name orvilo-test -p 5000:5000 orvilo:latest</w:t>
      </w:r>
      <w:r>
        <w:br/>
      </w:r>
      <w:r>
        <w:rPr>
          <w:rFonts w:ascii="Consolas" w:hAnsi="Consolas"/>
          <w:color w:val="1E293B"/>
          <w:sz w:val="17"/>
        </w:rPr>
        <w:t>python scripts/docker_smoke.py http://127.0.0.1:5000</w:t>
      </w:r>
      <w:r>
        <w:br/>
      </w:r>
      <w:r>
        <w:rPr>
          <w:rFonts w:ascii="Consolas" w:hAnsi="Consolas"/>
          <w:color w:val="1E293B"/>
          <w:sz w:val="17"/>
        </w:rPr>
        <w:t>docker rm -f orvilo-test</w:t>
      </w:r>
    </w:p>
    <w:p>
      <w:pPr>
        <w:pStyle w:val="Heading1"/>
        <w:keepNext/>
      </w:pPr>
      <w:r>
        <w:t>10. Appendices &amp; Supporting Files</w:t>
      </w:r>
    </w:p>
    <w:p>
      <w:pPr>
        <w:pStyle w:val="Heading2"/>
        <w:keepNext/>
      </w:pPr>
      <w:r>
        <w:t>Appendix A · Repository Source Map</w:t>
      </w:r>
    </w:p>
    <w:tbl>
      <w:tblPr>
        <w:tblW w:type="auto" w:w="0"/>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3120"/>
        <w:gridCol w:w="3120"/>
        <w:gridCol w:w="3120"/>
      </w:tblGrid>
      <w:tr>
        <w:trPr>
          <w:tblHeader w:val="true"/>
        </w:trPr>
        <w:tc>
          <w:tcPr>
            <w:tcW w:type="dxa" w:w="2160"/>
            <w:shd w:fill="17324D"/>
            <w:tcMar>
              <w:top w:w="120" w:type="dxa"/>
              <w:start w:w="120" w:type="dxa"/>
              <w:bottom w:w="120" w:type="dxa"/>
              <w:end w:w="120" w:type="dxa"/>
            </w:tcMar>
            <w:vAlign w:val="center"/>
          </w:tcPr>
          <w:p>
            <w:pPr>
              <w:spacing w:after="0" w:before="0"/>
            </w:pPr>
            <w:r>
              <w:rPr>
                <w:rFonts w:ascii="Aptos" w:hAnsi="Aptos"/>
                <w:b/>
                <w:color w:val="FFFFFF"/>
                <w:sz w:val="16"/>
              </w:rPr>
              <w:t>Subsystem Area</w:t>
            </w:r>
          </w:p>
        </w:tc>
        <w:tc>
          <w:tcPr>
            <w:tcW w:type="dxa" w:w="3168"/>
            <w:shd w:fill="17324D"/>
            <w:tcMar>
              <w:top w:w="120" w:type="dxa"/>
              <w:start w:w="120" w:type="dxa"/>
              <w:bottom w:w="120" w:type="dxa"/>
              <w:end w:w="120" w:type="dxa"/>
            </w:tcMar>
            <w:vAlign w:val="center"/>
          </w:tcPr>
          <w:p>
            <w:pPr>
              <w:spacing w:after="0" w:before="0"/>
            </w:pPr>
            <w:r>
              <w:rPr>
                <w:rFonts w:ascii="Aptos" w:hAnsi="Aptos"/>
                <w:b/>
                <w:color w:val="FFFFFF"/>
                <w:sz w:val="16"/>
              </w:rPr>
              <w:t>Repository Module</w:t>
            </w:r>
          </w:p>
        </w:tc>
        <w:tc>
          <w:tcPr>
            <w:tcW w:type="dxa" w:w="4032"/>
            <w:shd w:fill="17324D"/>
            <w:tcMar>
              <w:top w:w="120" w:type="dxa"/>
              <w:start w:w="120" w:type="dxa"/>
              <w:bottom w:w="120" w:type="dxa"/>
              <w:end w:w="120" w:type="dxa"/>
            </w:tcMar>
            <w:vAlign w:val="center"/>
          </w:tcPr>
          <w:p>
            <w:pPr>
              <w:spacing w:after="0" w:before="0"/>
            </w:pPr>
            <w:r>
              <w:rPr>
                <w:rFonts w:ascii="Aptos" w:hAnsi="Aptos"/>
                <w:b/>
                <w:color w:val="FFFFFF"/>
                <w:sz w:val="16"/>
              </w:rPr>
              <w:t>Primary Functionality</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Evidence Generator</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scripts/generate_execution_evidence.py</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Runs isolated scenarios and generates execution-evidence.json.</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Policy Compiler</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policy/loop.py</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Coordinates dual-reader parsing and Z3 SMT equivalence proof.</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Rule Lexicon</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policy/readers/lexicon.py</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Extracts triggers, caps, and symbolic inequalities.</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Workflow Manager</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policy/workflow.py</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Manages DRAFT -&gt; ACTIVE governance state transitions.</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EVM Simulator</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contracts/simulator.py</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Preflight simulation of spending limits and floor invariants.</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Wallet Client</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contracts/wallet_client.py</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Local security state and synthetic transaction execution.</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Attack Suite</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contracts/attack_tester.py</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Executes 6 modeled adversarial penetration checks.</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Conversational Assistant</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agent/assistant.py</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LangChain co-pilot for transaction anomaly audits &amp; explanations.</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Reference Contract</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contracts/PolicyWallet.sol</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Solidity smart contract reference implementation for Base Sepolia.</w:t>
            </w:r>
          </w:p>
        </w:tc>
      </w:tr>
      <w:tr>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Automated Test Suite</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tests/</w:t>
            </w:r>
          </w:p>
        </w:tc>
        <w:tc>
          <w:tcPr>
            <w:tcW w:type="dxa" w:w="3120"/>
            <w:vAlign w:val="center"/>
            <w:tcMar>
              <w:top w:w="90" w:type="dxa"/>
              <w:start w:w="110" w:type="dxa"/>
              <w:bottom w:w="90" w:type="dxa"/>
              <w:end w:w="110" w:type="dxa"/>
            </w:tcMar>
            <w:shd w:fill="F8FAFC"/>
          </w:tcPr>
          <w:p>
            <w:pPr>
              <w:spacing w:after="0" w:before="0"/>
            </w:pPr>
            <w:r>
              <w:rPr>
                <w:rFonts w:ascii="Aptos" w:hAnsi="Aptos"/>
                <w:color w:val="334155"/>
                <w:sz w:val="16"/>
              </w:rPr>
              <w:t>94 pytest test cases covering all 9 scorecard features.</w:t>
            </w:r>
          </w:p>
        </w:tc>
      </w:tr>
      <w:tr>
        <w:tc>
          <w:tcPr>
            <w:tcW w:type="dxa" w:w="3120"/>
            <w:vAlign w:val="center"/>
            <w:tcMar>
              <w:top w:w="90" w:type="dxa"/>
              <w:start w:w="110" w:type="dxa"/>
              <w:bottom w:w="90" w:type="dxa"/>
              <w:end w:w="110" w:type="dxa"/>
            </w:tcMar>
          </w:tcPr>
          <w:p>
            <w:pPr>
              <w:spacing w:after="0" w:before="0"/>
            </w:pPr>
            <w:r>
              <w:rPr>
                <w:rFonts w:ascii="Aptos" w:hAnsi="Aptos"/>
                <w:color w:val="334155"/>
                <w:sz w:val="16"/>
              </w:rPr>
              <w:t>Container Workflow</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Dockerfile, scripts/docker_smoke.py</w:t>
            </w:r>
          </w:p>
        </w:tc>
        <w:tc>
          <w:tcPr>
            <w:tcW w:type="dxa" w:w="3120"/>
            <w:vAlign w:val="center"/>
            <w:tcMar>
              <w:top w:w="90" w:type="dxa"/>
              <w:start w:w="110" w:type="dxa"/>
              <w:bottom w:w="90" w:type="dxa"/>
              <w:end w:w="110" w:type="dxa"/>
            </w:tcMar>
          </w:tcPr>
          <w:p>
            <w:pPr>
              <w:spacing w:after="0" w:before="0"/>
            </w:pPr>
            <w:r>
              <w:rPr>
                <w:rFonts w:ascii="Aptos" w:hAnsi="Aptos"/>
                <w:color w:val="334155"/>
                <w:sz w:val="16"/>
              </w:rPr>
              <w:t>Production containerization and health smoke testing.</w:t>
            </w:r>
          </w:p>
        </w:tc>
      </w:tr>
    </w:tbl>
    <w:p>
      <w:pPr>
        <w:spacing w:before="40" w:after="80"/>
      </w:pPr>
    </w:p>
    <w:p>
      <w:pPr>
        <w:pStyle w:val="Heading2"/>
        <w:keepNext/>
      </w:pPr>
      <w:r>
        <w:t>Appendix B · Evidence Checksum</w:t>
      </w:r>
    </w:p>
    <w:p>
      <w:pPr>
        <w:spacing w:after="100" w:line="276" w:lineRule="auto"/>
      </w:pPr>
      <w:r>
        <w:rPr>
          <w:rFonts w:ascii="Aptos" w:hAnsi="Aptos"/>
          <w:color w:val="334155"/>
        </w:rPr>
        <w:t>SHA-256 Checksum (execution-evidence.json):</w:t>
      </w:r>
    </w:p>
    <w:p>
      <w:r>
        <w:rPr>
          <w:rFonts w:ascii="Consolas" w:hAnsi="Consolas"/>
          <w:b/>
          <w:color w:val="17324D"/>
          <w:sz w:val="19"/>
        </w:rPr>
        <w:t>98e765bc3491a9eac9ca296b4062d03f6928902ab4d974a6fd27f1483ef1de83</w:t>
      </w:r>
    </w:p>
    <w:p>
      <w:pPr>
        <w:pStyle w:val="Heading2"/>
        <w:keepNext/>
      </w:pPr>
      <w:r>
        <w:t>Appendix C · Interpretation Rules</w:t>
      </w:r>
    </w:p>
    <w:p>
      <w:pPr>
        <w:spacing w:after="100" w:line="276" w:lineRule="auto"/>
      </w:pPr>
      <w:r>
        <w:rPr>
          <w:rFonts w:ascii="Aptos" w:hAnsi="Aptos"/>
          <w:color w:val="334155"/>
        </w:rPr>
        <w:t>Throughout this report, the following definitions apply strictly:</w:t>
      </w:r>
    </w:p>
    <w:p>
      <w:pPr>
        <w:pStyle w:val="ListBullet"/>
        <w:spacing w:after="50"/>
      </w:pPr>
      <w:r>
        <w:rPr>
          <w:rFonts w:ascii="Aptos" w:hAnsi="Aptos"/>
          <w:color w:val="334155"/>
        </w:rPr>
        <w:t>Means a local Python method returned a successful preflight evaluation. It does not indicate that any blockchain mempool or miner accepted the transaction.</w:t>
      </w:r>
    </w:p>
    <w:p>
      <w:pPr>
        <w:pStyle w:val="ListBullet"/>
        <w:spacing w:after="50"/>
      </w:pPr>
      <w:r>
        <w:rPr>
          <w:rFonts w:ascii="Aptos" w:hAnsi="Aptos"/>
          <w:color w:val="334155"/>
        </w:rPr>
        <w:t>Means the application constructed confirmation-like payload fields (e.g. UUID-derived hashes) locally. It is not an on-chain receipt.</w:t>
      </w:r>
    </w:p>
    <w:p>
      <w:pPr>
        <w:pStyle w:val="ListBullet"/>
        <w:spacing w:after="50"/>
      </w:pPr>
      <w:r>
        <w:rPr>
          <w:rFonts w:ascii="Aptos" w:hAnsi="Aptos"/>
          <w:color w:val="334155"/>
        </w:rPr>
        <w:t>A cryptographic receipt returned by an authentic blockchain node (Base Sepolia) with a block number, gas used, and status code 1. Zero genuine on-chain receipts were generated in this run.</w:t>
      </w:r>
    </w:p>
    <w:sectPr w:rsidR="00FC693F" w:rsidRPr="0006063C" w:rsidSect="00034616">
      <w:headerReference w:type="default" r:id="rId9"/>
      <w:footerReference w:type="default" r:id="rId10"/>
      <w:pgSz w:w="12240" w:h="15840"/>
      <w:pgMar w:top="1152" w:right="1440" w:bottom="1080"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64748B"/>
        <w:sz w:val="16"/>
      </w:rPr>
      <w:t xml:space="preserve">FinTechathon 2026 (Topic F)  |  Page </w:t>
    </w:r>
    <w:r>
      <w:rPr>
        <w:rFonts w:ascii="Aptos" w:hAnsi="Aptos"/>
        <w:color w:val="64748B"/>
        <w:sz w:val="16"/>
      </w:rPr>
      <w:fldChar w:fldCharType="begin"/>
      <w:instrText xml:space="preserve">PAGE</w:instrText>
      <w:fldChar w:fldCharType="separate"/>
      <w:t>1</w:t>
      <w:fldChar w:fldCharType="end"/>
    </w:r>
    <w:r>
      <w:rPr>
        <w:rFonts w:ascii="Aptos" w:hAnsi="Aptos"/>
        <w:color w:val="64748B"/>
        <w:sz w:val="16"/>
      </w:rPr>
      <w:t xml:space="preserve"> of </w:t>
    </w:r>
    <w:r>
      <w:rPr>
        <w:rFonts w:ascii="Aptos" w:hAnsi="Aptos"/>
        <w:color w:val="64748B"/>
        <w:sz w:val="16"/>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64748B"/>
        <w:sz w:val="16"/>
      </w:rPr>
      <w:t>WALLETAGENT (ORVILO)  |  EXECUTION EVIDENCE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334155"/>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20"/>
      <w:outlineLvl w:val="0"/>
    </w:pPr>
    <w:rPr>
      <w:rFonts w:asciiTheme="majorHAnsi" w:eastAsiaTheme="majorEastAsia" w:hAnsiTheme="majorHAnsi" w:cstheme="majorBidi" w:ascii="Aptos Display" w:hAnsi="Aptos Display"/>
      <w:b/>
      <w:bCs/>
      <w:color w:val="17324D"/>
      <w:sz w:val="30"/>
      <w:szCs w:val="28"/>
    </w:rPr>
  </w:style>
  <w:style w:type="paragraph" w:styleId="Heading2">
    <w:name w:val="heading 2"/>
    <w:basedOn w:val="Normal"/>
    <w:next w:val="Normal"/>
    <w:link w:val="Heading2Char"/>
    <w:uiPriority w:val="9"/>
    <w:unhideWhenUsed/>
    <w:qFormat/>
    <w:rsid w:val="00FC693F"/>
    <w:pPr>
      <w:keepNext/>
      <w:keepLines/>
      <w:spacing w:before="220" w:after="80"/>
      <w:outlineLvl w:val="1"/>
    </w:pPr>
    <w:rPr>
      <w:rFonts w:asciiTheme="majorHAnsi" w:eastAsiaTheme="majorEastAsia" w:hAnsiTheme="majorHAnsi" w:cstheme="majorBidi" w:ascii="Aptos Display" w:hAnsi="Aptos Display"/>
      <w:b/>
      <w:bCs/>
      <w:color w:val="1E5A88"/>
      <w:sz w:val="24"/>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00"/>
    </w:pPr>
    <w:rPr>
      <w:rFonts w:asciiTheme="majorHAnsi" w:eastAsiaTheme="majorEastAsia" w:hAnsiTheme="majorHAnsi" w:cstheme="majorBidi" w:ascii="Aptos" w:hAnsi="Aptos"/>
      <w:b w:val="0"/>
      <w:i/>
      <w:iCs/>
      <w:color w:val="64748B"/>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50"/>
      <w:ind w:left="504" w:hanging="259"/>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50"/>
      <w:ind w:left="504" w:hanging="259"/>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64748B"/>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WalletAgent (Orvilo) Execution Evidence Report</dc:title>
  <dc:subject>Sandbox verification of policy compiler, guardrails, approval workflow, and conversational assistant</dc:subject>
  <dc:creator>Orvilo Engineering Team</dc:creator>
  <cp:keywords>WalletAgent, Orvilo, Execution Evidence, FinTechathon, Base Sepolia, Z3, Guardrails, Sandbox</cp:keywords>
  <dc:description>Fully aligned with main branch and docs/execution-evidence-report-final.md; no live on-chain transactions.</dc:description>
  <cp:lastModifiedBy/>
  <cp:revision>1</cp:revision>
  <dcterms:created xsi:type="dcterms:W3CDTF">2013-12-23T23:15:00Z</dcterms:created>
  <dcterms:modified xsi:type="dcterms:W3CDTF">2013-12-23T23:15:00Z</dcterms:modified>
  <cp:category/>
</cp:coreProperties>
</file>