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jc w:val="center"/>
        <w:spacing w:after="160"/>
      </w:pPr>
      <w:r>
        <w:drawing>
          <wp:inline distT="0" distB="0" distL="0" distR="0">
            <wp:extent cx="540000" cy="540000"/>
            <wp:effectExtent l="0" t="0" r="0" b="0"/>
            <wp:docPr id="1" nam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Logo"/>
                    <a:stretch>
                      <a:fillRect/>
                    </a:stretch>
                  </pic:blipFill>
                  <pic:spPr>
                    <a:xfrm>
                      <a:off x="0" y="0"/>
                      <a:ext cx="540000" cy="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  <w:spacing w:after="60" w:line="276" w:lineRule="auto"/>
      </w:pPr>
      <w:r>
        <w:rPr>
          <w:rFonts w:ascii="맑은 고딕" w:hAnsi="맑은 고딕" w:eastAsia="맑은 고딕"/>
        </w:rPr>
        <w:t xml:space="preserve">Care&amp; AI 수요예측 설계 문서</w:t>
      </w:r>
    </w:p>
    <w:p>
      <w:pPr>
        <w:spacing w:after="80" w:line="276" w:lineRule="auto"/>
      </w:pPr>
      <w:r>
        <w:rPr>
          <w:rFonts w:ascii="맑은 고딕" w:hAnsi="맑은 고딕" w:eastAsia="맑은 고딕"/>
          <w:color w:val="666666"/>
          <w:sz w:val="22"/>
          <w:szCs w:val="22"/>
        </w:rPr>
        <w:t xml:space="preserve">지역 매칭 수요·인력 수급 예측 (seasonal-naive-v1, DB 이력 기반)</w:t>
      </w:r>
    </w:p>
    <w:p>
      <w:pPr>
        <w:spacing w:after="240" w:line="276" w:lineRule="auto"/>
      </w:pPr>
      <w:r>
        <w:rPr>
          <w:rFonts w:ascii="맑은 고딕" w:hAnsi="맑은 고딕" w:eastAsia="맑은 고딕"/>
          <w:color w:val="666666"/>
          <w:sz w:val="20"/>
          <w:szCs w:val="20"/>
        </w:rPr>
        <w:t>작성일: 2026-06-27   ·   대상: caren.aiclaude.kr AI 서비스(FastAPI)</w:t>
      </w:r>
    </w:p>
    <w:p>
      <w:pPr>
        <w:pStyle w:val="Heading1"/>
        <w:spacing w:after="140" w:line="276" w:lineRule="auto"/>
      </w:pPr>
      <w:r>
        <w:rPr>
          <w:rFonts w:ascii="맑은 고딕" w:hAnsi="맑은 고딕" w:eastAsia="맑은 고딕"/>
        </w:rPr>
        <w:t xml:space="preserve">1. 개요</w:t>
      </w:r>
    </w:p>
    <w:p>
      <w:pPr>
        <w:spacing w:after="120" w:line="276" w:lineRule="auto"/>
      </w:pPr>
      <w:r>
        <w:rPr>
          <w:rFonts w:ascii="맑은 고딕" w:hAnsi="맑은 고딕" w:eastAsia="맑은 고딕"/>
        </w:rPr>
        <w:t xml:space="preserve">향후 일자별 매칭 요청 수요를 예측하여 인력 수급·배치 계획에 활용한다. 최근 매칭 요청 이력의 요일별 계절성(seasonal naive)을 이용하며, 동시에 현재 활성 인력 수를 함께 제공해 수요·공급을 한 화면에서 비교할 수 있게 한다.</w:t>
      </w:r>
    </w:p>
    <w:p>
      <w:pPr>
        <w:pStyle w:val="Heading1"/>
        <w:spacing w:after="140" w:line="276" w:lineRule="auto"/>
      </w:pPr>
      <w:r>
        <w:rPr>
          <w:rFonts w:ascii="맑은 고딕" w:hAnsi="맑은 고딕" w:eastAsia="맑은 고딕"/>
        </w:rPr>
        <w:t xml:space="preserve">2. 알고리즘 (seasonal-naive-v1)</w:t>
      </w:r>
    </w:p>
    <w:p>
      <w:pPr>
        <w:ind w:left="360" w:hanging="180"/>
        <w:spacing w:after="60" w:line="276" w:lineRule="auto"/>
      </w:pPr>
      <w:r>
        <w:rPr>
          <w:rFonts w:ascii="맑은 고딕" w:hAnsi="맑은 고딕" w:eastAsia="맑은 고딕"/>
        </w:rPr>
        <w:t xml:space="preserve">•  최근 56일(lookback)의 일별 매칭요청 건수를 집계한다. 요청이 없던 날은 0건으로 채워 연속 시계열로 만든다.</w:t>
      </w:r>
    </w:p>
    <w:p>
      <w:pPr>
        <w:ind w:left="360" w:hanging="180"/>
        <w:spacing w:after="60" w:line="276" w:lineRule="auto"/>
      </w:pPr>
      <w:r>
        <w:rPr>
          <w:rFonts w:ascii="맑은 고딕" w:hAnsi="맑은 고딕" w:eastAsia="맑은 고딕"/>
        </w:rPr>
        <w:t xml:space="preserve">•  요일(월~일)별 평균 건수를 계산한다(요일 계절성). 표본이 없는 요일은 전체 일평균으로 보간한다.</w:t>
      </w:r>
    </w:p>
    <w:p>
      <w:pPr>
        <w:ind w:left="360" w:hanging="180"/>
        <w:spacing w:after="60" w:line="276" w:lineRule="auto"/>
      </w:pPr>
      <w:r>
        <w:rPr>
          <w:rFonts w:ascii="맑은 고딕" w:hAnsi="맑은 고딕" w:eastAsia="맑은 고딕"/>
        </w:rPr>
        <w:t xml:space="preserve">•  향후 N일(최대 30일) 각 날짜의 요일 평균을 예측값으로 사용한다.</w:t>
      </w:r>
    </w:p>
    <w:p>
      <w:pPr>
        <w:ind w:left="360" w:hanging="180"/>
        <w:spacing w:after="60" w:line="276" w:lineRule="auto"/>
      </w:pPr>
      <w:r>
        <w:rPr>
          <w:rFonts w:ascii="맑은 고딕" w:hAnsi="맑은 고딕" w:eastAsia="맑은 고딕"/>
        </w:rPr>
        <w:t xml:space="preserve">•  활성 인력 수(available_caregivers)는 status=active·미삭제 기준 실측값을 함께 반환한다.</w:t>
      </w:r>
    </w:p>
    <w:p>
      <w:pPr>
        <w:pStyle w:val="Heading1"/>
        <w:spacing w:after="140" w:line="276" w:lineRule="auto"/>
      </w:pPr>
      <w:r>
        <w:rPr>
          <w:rFonts w:ascii="맑은 고딕" w:hAnsi="맑은 고딕" w:eastAsia="맑은 고딕"/>
        </w:rPr>
        <w:t xml:space="preserve">3. 입력 / 출력</w:t>
      </w:r>
    </w:p>
    <w:tbl>
      <w:tblPr>
        <w:tblW w:w="0" w:type="auto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ook w:val="04A0"/>
      </w:tblPr>
      <w:tblGrid>
        <w:gridCol w:w="1284"/>
        <w:gridCol w:w="2781"/>
        <w:gridCol w:w="5135"/>
      </w:tblGrid>
      <w:tr>
        <w:trPr>
          <w:tblHeader/>
        </w:trPr>
        <w:tc>
          <w:tcPr>
            <w:tcW w:w="1284" w:type="dxa"/>
            <w:shd w:val="clear" w:fill="1F7A55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w="2781" w:type="dxa"/>
            <w:shd w:val="clear" w:fill="1F7A55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  <w:szCs w:val="18"/>
              </w:rPr>
              <w:t xml:space="preserve">필드</w:t>
            </w:r>
          </w:p>
        </w:tc>
        <w:tc>
          <w:tcPr>
            <w:tcW w:w="5135" w:type="dxa"/>
            <w:shd w:val="clear" w:fill="1F7A55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w="1284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입력</w:t>
            </w:r>
          </w:p>
        </w:tc>
        <w:tc>
          <w:tcPr>
            <w:tcW w:w="2781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region</w:t>
            </w:r>
          </w:p>
        </w:tc>
        <w:tc>
          <w:tcPr>
            <w:tcW w:w="5135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지역 라벨(기본 ‘서울’)</w:t>
            </w:r>
          </w:p>
        </w:tc>
      </w:tr>
      <w:tr>
        <w:tc>
          <w:tcPr>
            <w:tcW w:w="1284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입력</w:t>
            </w:r>
          </w:p>
        </w:tc>
        <w:tc>
          <w:tcPr>
            <w:tcW w:w="2781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days</w:t>
            </w:r>
          </w:p>
        </w:tc>
        <w:tc>
          <w:tcPr>
            <w:tcW w:w="5135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예측 일수(1~30, 기본 7)</w:t>
            </w:r>
          </w:p>
        </w:tc>
      </w:tr>
      <w:tr>
        <w:tc>
          <w:tcPr>
            <w:tcW w:w="1284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출력</w:t>
            </w:r>
          </w:p>
        </w:tc>
        <w:tc>
          <w:tcPr>
            <w:tcW w:w="2781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forecasts[]</w:t>
            </w:r>
          </w:p>
        </w:tc>
        <w:tc>
          <w:tcPr>
            <w:tcW w:w="5135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날짜별 {date, predicted_requests, available_caregivers}</w:t>
            </w:r>
          </w:p>
        </w:tc>
      </w:tr>
      <w:tr>
        <w:tc>
          <w:tcPr>
            <w:tcW w:w="1284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출력</w:t>
            </w:r>
          </w:p>
        </w:tc>
        <w:tc>
          <w:tcPr>
            <w:tcW w:w="2781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history_days</w:t>
            </w:r>
          </w:p>
        </w:tc>
        <w:tc>
          <w:tcPr>
            <w:tcW w:w="5135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사용한 이력 기간(56일)</w:t>
            </w:r>
          </w:p>
        </w:tc>
      </w:tr>
      <w:tr>
        <w:tc>
          <w:tcPr>
            <w:tcW w:w="1284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출력</w:t>
            </w:r>
          </w:p>
        </w:tc>
        <w:tc>
          <w:tcPr>
            <w:tcW w:w="2781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history_total_requests</w:t>
            </w:r>
          </w:p>
        </w:tc>
        <w:tc>
          <w:tcPr>
            <w:tcW w:w="5135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이력 구간 총 요청 수</w:t>
            </w:r>
          </w:p>
        </w:tc>
      </w:tr>
      <w:tr>
        <w:tc>
          <w:tcPr>
            <w:tcW w:w="1284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출력</w:t>
            </w:r>
          </w:p>
        </w:tc>
        <w:tc>
          <w:tcPr>
            <w:tcW w:w="2781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model</w:t>
            </w:r>
          </w:p>
        </w:tc>
        <w:tc>
          <w:tcPr>
            <w:tcW w:w="5135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seasonal-naive-v1</w:t>
            </w:r>
          </w:p>
        </w:tc>
      </w:tr>
    </w:tbl>
    <w:p>
      <w:pPr>
        <w:spacing w:after="60"/>
      </w:pPr>
    </w:p>
    <w:p>
      <w:pPr>
        <w:pStyle w:val="Heading1"/>
        <w:spacing w:after="140" w:line="276" w:lineRule="auto"/>
      </w:pPr>
      <w:r>
        <w:rPr>
          <w:rFonts w:ascii="맑은 고딕" w:hAnsi="맑은 고딕" w:eastAsia="맑은 고딕"/>
        </w:rPr>
        <w:t xml:space="preserve">4. API 및 백엔드 연동</w:t>
      </w:r>
    </w:p>
    <w:p>
      <w:pPr>
        <w:spacing w:after="120" w:line="276" w:lineRule="auto"/>
      </w:pPr>
      <w:r>
        <w:rPr>
          <w:rFonts w:ascii="맑은 고딕" w:hAnsi="맑은 고딕" w:eastAsia="맑은 고딕"/>
          <w:b/>
          <w:color w:val="16412B"/>
        </w:rPr>
        <w:t xml:space="preserve">POST /ai/forecast/demand   ·   인증: Bearer 토큰(AI_SERVICE_TOKEN)</w:t>
      </w:r>
    </w:p>
    <w:p>
      <w:pPr>
        <w:spacing w:after="120" w:line="276" w:lineRule="auto"/>
      </w:pPr>
      <w:r>
        <w:rPr>
          <w:rFonts w:ascii="맑은 고딕" w:hAnsi="맑은 고딕" w:eastAsia="맑은 고딕"/>
        </w:rPr>
        <w:t xml:space="preserve">DB(match_requests, caregivers)에 직접 접속해 집계한다. 관리자 대시보드의 수요·수급 위젯에서 호출하여 향후 수요 곡선과 가용 인력을 함께 표시한다.</w:t>
      </w:r>
    </w:p>
    <w:p>
      <w:pPr>
        <w:pStyle w:val="Heading1"/>
        <w:spacing w:after="140" w:line="276" w:lineRule="auto"/>
      </w:pPr>
      <w:r>
        <w:rPr>
          <w:rFonts w:ascii="맑은 고딕" w:hAnsi="맑은 고딕" w:eastAsia="맑은 고딕"/>
        </w:rPr>
        <w:t xml:space="preserve">5. 한계 및 향후 과제</w:t>
      </w:r>
    </w:p>
    <w:p>
      <w:pPr>
        <w:ind w:left="360" w:hanging="180"/>
        <w:spacing w:after="60" w:line="276" w:lineRule="auto"/>
      </w:pPr>
      <w:r>
        <w:rPr>
          <w:rFonts w:ascii="맑은 고딕" w:hAnsi="맑은 고딕" w:eastAsia="맑은 고딕"/>
        </w:rPr>
        <w:t xml:space="preserve">•  요일 계절성만 반영 — 장기 추세(증가/감소), 공휴일·연휴·캠페인 이벤트 효과는 미반영.</w:t>
      </w:r>
    </w:p>
    <w:p>
      <w:pPr>
        <w:ind w:left="360" w:hanging="180"/>
        <w:spacing w:after="60" w:line="276" w:lineRule="auto"/>
      </w:pPr>
      <w:r>
        <w:rPr>
          <w:rFonts w:ascii="맑은 고딕" w:hAnsi="맑은 고딕" w:eastAsia="맑은 고딕"/>
        </w:rPr>
        <w:t xml:space="preserve">•  region 파라미터는 현재 라벨 수준(집계는 전역). 지역별 분리 집계는 데이터·주소 정합 후 확장 가능.</w:t>
      </w:r>
    </w:p>
    <w:p>
      <w:pPr>
        <w:ind w:left="360" w:hanging="180"/>
        <w:spacing w:after="60" w:line="276" w:lineRule="auto"/>
      </w:pPr>
      <w:r>
        <w:rPr>
          <w:rFonts w:ascii="맑은 고딕" w:hAnsi="맑은 고딕" w:eastAsia="맑은 고딕"/>
        </w:rPr>
        <w:t xml:space="preserve">•  56일 단기 윈도우 기반 — 계절(분기) 단위 패턴 학습은 장기 이력·시계열 모델(Prophet/ETS) 도입 시 개선.</w:t>
      </w:r>
    </w:p>
    <w:sectPr>
      <w:pgSz w:w="11906" w:h="16838"/>
      <w:pgMar w:top="1134" w:right="1134" w:bottom="1134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맑은 고딕" w:hAnsi="맑은 고딕" w:eastAsia="맑은 고딕"/>
        <w:sz w:val="21"/>
        <w:szCs w:val="21"/>
      </w:rPr>
    </w:rPrDefault>
  </w:docDefaults>
  <w:style w:type="paragraph" w:default="1" w:styleId="Normal">
    <w:name w:val="Normal"/>
    <w:rPr>
      <w:rFonts w:ascii="맑은 고딕" w:hAnsi="맑은 고딕" w:eastAsia="맑은 고딕"/>
    </w:rPr>
  </w:style>
  <w:style w:type="paragraph" w:styleId="Title">
    <w:name w:val="Title"/>
    <w:basedOn w:val="Normal"/>
    <w:next w:val="Normal"/>
    <w:pPr>
      <w:keepNext/>
      <w:spacing w:before="0" w:after="120"/>
      <w:outlineLvl w:val="0"/>
    </w:pPr>
    <w:rPr>
      <w:rFonts w:ascii="맑은 고딕" w:hAnsi="맑은 고딕" w:eastAsia="맑은 고딕"/>
      <w:b/>
      <w:color w:val="16412B"/>
      <w:sz w:val="40"/>
    </w:rPr>
  </w:style>
  <w:style w:type="paragraph" w:styleId="Heading1">
    <w:name w:val="heading 1"/>
    <w:basedOn w:val="Normal"/>
    <w:next w:val="Normal"/>
    <w:pPr>
      <w:keepNext/>
      <w:spacing w:before="240" w:after="120"/>
      <w:outlineLvl w:val="0"/>
    </w:pPr>
    <w:rPr>
      <w:rFonts w:ascii="맑은 고딕" w:hAnsi="맑은 고딕" w:eastAsia="맑은 고딕"/>
      <w:b/>
      <w:color w:val="1F7A55"/>
      <w:sz w:val="30"/>
    </w:rPr>
  </w:style>
  <w:style w:type="paragraph" w:styleId="Heading2">
    <w:name w:val="heading 2"/>
    <w:basedOn w:val="Normal"/>
    <w:next w:val="Normal"/>
    <w:pPr>
      <w:keepNext/>
      <w:spacing w:before="240" w:after="120"/>
      <w:outlineLvl w:val="1"/>
    </w:pPr>
    <w:rPr>
      <w:rFonts w:ascii="맑은 고딕" w:hAnsi="맑은 고딕" w:eastAsia="맑은 고딕"/>
      <w:b/>
      <w:color w:val="2E8A5E"/>
      <w:sz w:val="25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Logo" Type="http://schemas.openxmlformats.org/officeDocument/2006/relationships/image" Target="media/logo.png"/></Relationships>
</file>