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매칭 설계 문서</w:t>
      </w:r>
    </w:p>
    <w:p>
      <w:pPr>
        <w:spacing w:after="80" w:line="276" w:lineRule="auto"/>
      </w:pPr>
      <w:r>
        <w:rPr>
          <w:rFonts w:ascii="맑은 고딕" w:hAnsi="맑은 고딕" w:eastAsia="맑은 고딕"/>
          <w:color w:val="666666"/>
          <w:sz w:val="22"/>
          <w:szCs w:val="22"/>
        </w:rPr>
        <w:t xml:space="preserve">돌봄전문가 자동 매칭 — 카테고리별 매칭 기준 및 매칭 알고리즘 (rule-v3)</w:t>
      </w:r>
    </w:p>
    <w:p>
      <w:pPr>
        <w:spacing w:after="240" w:line="276" w:lineRule="auto"/>
      </w:pPr>
      <w:r>
        <w:t>작성일: 2026-06-27 · 개정: 2026-06-28(L2R 추가) · 대상: careand.aiclaude.kr 매칭 엔진(백엔드 Laravel + AI 서비스 FastAPI) · 버전: rule-v3 + L2R(데이터 임계 게이트)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Care&amp; 플랫폼은 보호자(또는 기관)의 매칭 요청에 대해 적격 돌봄전문가를 자동으로 선별·점수화하여 상위 후보를 추천한다. 매칭은 두 단계로 구성된다. (1) 백엔드(Laravel)가 자격·도메인·안전 조건으로 후보 풀을 하드 필터링하고, (2) AI 서비스(FastAPI)가 다중 신호로 점수화·정렬하여 상위 K명을 반환한다. 무거운 학습형 모델 대신 규칙·휴리스틱 기반(rule-v3)으로 구현되어 있으며 DB 이력 신호(연속성·평점 표본)를 활용한다.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전체 매칭 플로우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매칭 요청 생성 → 후보 풀 구성(백엔드 하드 필터) → AI 점수화·정렬 → 상위 후보 저장 → 보호자 선택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운영 환경에서는 비동기 큐(Redis, careand-queue)로 처리한다. 요청 생성 즉시 응답하고 GenerateMatchCandidatesJob 이 후보를 산출한다(보호자는 폴링으로 확인). 로컬/테스트는 동기 경로로 즉시 처리하며 두 경로의 필터·정책은 동일하다.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31"/>
        <w:gridCol w:w="1636"/>
        <w:gridCol w:w="6133"/>
      </w:tblGrid>
      <w:tr>
        <w:trPr>
          <w:tblHeader/>
        </w:trPr>
        <w:tc>
          <w:tcPr>
            <w:tcW w:w="143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w="163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w="613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1. 요청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보호자/기관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대상자·카테고리·일정·요구사항으로 매칭 요청 생성(status=open)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2. 풀 구성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자격·도메인·스킬·성별·기피 조건으로 적격 인력 하드 필터링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3. 점수화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서비스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다중 신호로 0~1 점수 산출, 정렬, 상위 top_k 반환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4. 저장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백엔드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match_candidates 저장(rank·ai_score·ai_reasons), status 갱신</w:t>
            </w:r>
          </w:p>
        </w:tc>
      </w:tr>
      <w:tr>
        <w:tc>
          <w:tcPr>
            <w:tcW w:w="143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5. 선택</w:t>
            </w:r>
          </w:p>
        </w:tc>
        <w:tc>
          <w:tcPr>
            <w:tcW w:w="163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</w:t>
            </w:r>
          </w:p>
        </w:tc>
        <w:tc>
          <w:tcPr>
            <w:tcW w:w="613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중 1명 선택 → 인력 수락/거절 → 계약·세션 진행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후보 풀 구성 — 하드 필터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AI 점수화 이전에 백엔드가 아래 조건을 모두 만족하는 인력만 풀에 포함한다. 점수와 무관하게 미충족 시 제외된다.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551"/>
        <w:gridCol w:w="4962"/>
        <w:gridCol w:w="2688"/>
      </w:tblGrid>
      <w:tr>
        <w:trPr>
          <w:tblHeader/>
        </w:trPr>
        <w:tc>
          <w:tcPr>
            <w:tcW w:w="155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필터</w:t>
            </w:r>
          </w:p>
        </w:tc>
        <w:tc>
          <w:tcPr>
            <w:tcW w:w="496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w="268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적용 범위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활성 상태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status = active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자격 검증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license_verified_at 존재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도메인 적격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service_domains 에 요청 도메인 포함(FIND_IN_SET)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보유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specialties 에 요구 스킬 포함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가사(HK_*)만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동성 매칭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gender = 대상자 성별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방문목욕(BATH)만</w:t>
            </w:r>
          </w:p>
        </w:tc>
      </w:tr>
      <w:tr>
        <w:tc>
          <w:tcPr>
            <w:tcW w:w="1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기피 제외</w:t>
            </w:r>
          </w:p>
        </w:tc>
        <w:tc>
          <w:tcPr>
            <w:tcW w:w="496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caregiver_blocks 의 기피 대상 제외</w:t>
            </w:r>
          </w:p>
        </w:tc>
        <w:tc>
          <w:tcPr>
            <w:tcW w:w="26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공급 희박 폴백 정책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적격 인력 0으로 인한 침묵 만료를 막는 단계적 완화. 단, 안전 조건(동성 매칭)은 어떤 폴백에서도 완화하지 않는다.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921"/>
        <w:gridCol w:w="1820"/>
        <w:gridCol w:w="3134"/>
        <w:gridCol w:w="2325"/>
      </w:tblGrid>
      <w:tr>
        <w:trPr>
          <w:tblHeader/>
        </w:trPr>
        <w:tc>
          <w:tcPr>
            <w:tcW w:w="192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폴백</w:t>
            </w:r>
          </w:p>
        </w:tc>
        <w:tc>
          <w:tcPr>
            <w:tcW w:w="18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발동 조건</w:t>
            </w:r>
          </w:p>
        </w:tc>
        <w:tc>
          <w:tcPr>
            <w:tcW w:w="313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w="232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완화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스킬 보유 풀 0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도메인 적격자 전체로 재조회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가사. 동성 필터 유지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임계 완화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임계 점수로 후보 0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min_score=0 으로 재점수화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좌표·신규 인력 구제</w:t>
            </w:r>
          </w:p>
        </w:tc>
      </w:tr>
      <w:tr>
        <w:tc>
          <w:tcPr>
            <w:tcW w:w="192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임계 우회</w:t>
            </w:r>
          </w:p>
        </w:tc>
        <w:tc>
          <w:tcPr>
            <w:tcW w:w="182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지정</w:t>
            </w:r>
          </w:p>
        </w:tc>
        <w:tc>
          <w:tcPr>
            <w:tcW w:w="313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선호 성별 인력은 임계와 무관하게 항상 포함</w:t>
            </w:r>
          </w:p>
        </w:tc>
        <w:tc>
          <w:tcPr>
            <w:tcW w:w="232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소수 성별 구제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점수화 알고리즘 (rule-v3)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base = w_특기·특기점수 + w_거리·거리점수 + w_평점·평점점수(베이지안) + w_경험·경험점수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final = 0.85 · base + 0.15 · 연속성점수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00"/>
        <w:gridCol w:w="5300"/>
        <w:gridCol w:w="2500"/>
      </w:tblGrid>
      <w:tr>
        <w:trPr>
          <w:tblHeader/>
        </w:trPr>
        <w:tc>
          <w:tcPr>
            <w:tcW w:w="14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신호</w:t>
            </w:r>
          </w:p>
        </w:tc>
        <w:tc>
          <w:tcPr>
            <w:tcW w:w="53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w="25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특기점수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대상자 질환과 인력 특기의 교집합 비율. 질환없음=0.5, 일치=비율, 불일치=0.3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거리점수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1 − 거리(km)/10 (Haversine). 좌표 미상=0.5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평점점수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베이지안 보정 평점/5. (5·3.5 + n·평균)/(5+n)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표본 적은 고평점 과대평가 차단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경험점수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min(완료세션수 / 100, 1.0)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0~1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연속성점수</w:t>
            </w:r>
          </w:p>
        </w:tc>
        <w:tc>
          <w:tcPr>
            <w:tcW w:w="53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동일 대상자 과거 수락 매칭 횟수. min(횟수/3, 1.0)</w:t>
            </w:r>
          </w:p>
        </w:tc>
        <w:tc>
          <w:tcPr>
            <w:tcW w:w="2500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가산식 — 이력없으면 랭킹 보존</w:t>
            </w:r>
          </w:p>
        </w:tc>
      </w:tr>
    </w:tbl>
    <w:p>
      <w:pPr>
        <w:spacing w:after="60"/>
      </w:pP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53"/>
        <w:gridCol w:w="920"/>
        <w:gridCol w:w="920"/>
        <w:gridCol w:w="920"/>
        <w:gridCol w:w="920"/>
        <w:gridCol w:w="3067"/>
      </w:tblGrid>
      <w:tr>
        <w:trPr>
          <w:tblHeader/>
        </w:trPr>
        <w:tc>
          <w:tcPr>
            <w:tcW w:w="245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특기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거리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평점</w:t>
            </w:r>
          </w:p>
        </w:tc>
        <w:tc>
          <w:tcPr>
            <w:tcW w:w="92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경험</w:t>
            </w:r>
          </w:p>
        </w:tc>
        <w:tc>
          <w:tcPr>
            <w:tcW w:w="306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53"/>
          </w:tcPr>
          <w:p>
            <w:r>
              <w:t>시니어(senior)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질환·특기 정합 중시</w:t>
            </w:r>
          </w:p>
        </w:tc>
      </w:tr>
      <w:tr>
        <w:tc>
          <w:tcPr>
            <w:tcW w:type="dxa" w:w="2453"/>
          </w:tcPr>
          <w:p>
            <w:r>
              <w:t>간병(nursing)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환자 상태·특기 정합 중시</w:t>
            </w:r>
          </w:p>
        </w:tc>
      </w:tr>
      <w:tr>
        <w:tc>
          <w:tcPr>
            <w:tcW w:type="dxa" w:w="2453"/>
          </w:tcPr>
          <w:p>
            <w:r>
              <w:t>생활지원(living_support)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청소·정리·수리·동행(←가사 리네임), 근접성도 고려</w:t>
            </w:r>
          </w:p>
        </w:tc>
      </w:tr>
      <w:tr>
        <w:tc>
          <w:tcPr>
            <w:tcW w:type="dxa" w:w="2453"/>
          </w:tcPr>
          <w:p>
            <w:r>
              <w:t>산모·산후(postpartum)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산모·신생아 케어 특기 정합</w:t>
            </w:r>
          </w:p>
        </w:tc>
      </w:tr>
      <w:tr>
        <w:tc>
          <w:tcPr>
            <w:tcW w:type="dxa" w:w="2453"/>
          </w:tcPr>
          <w:p>
            <w:r>
              <w:t>아이돌봄(childcare)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등하원·놀이·영아, 근접성 함께 고려</w:t>
            </w:r>
          </w:p>
        </w:tc>
      </w:tr>
      <w:tr>
        <w:tc>
          <w:tcPr>
            <w:tcW w:type="dxa" w:w="2453"/>
          </w:tcPr>
          <w:p>
            <w:r>
              <w:t>마음돌봄(mental_care)</w:t>
            </w:r>
          </w:p>
        </w:tc>
        <w:tc>
          <w:tcPr>
            <w:tcW w:type="dxa" w:w="920"/>
          </w:tcPr>
          <w:p>
            <w:r>
              <w:t>0.40</w:t>
            </w:r>
          </w:p>
        </w:tc>
        <w:tc>
          <w:tcPr>
            <w:tcW w:type="dxa" w:w="920"/>
          </w:tcPr>
          <w:p>
            <w:r>
              <w:t>0.30</w:t>
            </w:r>
          </w:p>
        </w:tc>
        <w:tc>
          <w:tcPr>
            <w:tcW w:type="dxa" w:w="920"/>
          </w:tcPr>
          <w:p>
            <w:r>
              <w:t>0.20</w:t>
            </w:r>
          </w:p>
        </w:tc>
        <w:tc>
          <w:tcPr>
            <w:tcW w:type="dxa" w:w="920"/>
          </w:tcPr>
          <w:p>
            <w:r>
              <w:t>0.10</w:t>
            </w:r>
          </w:p>
        </w:tc>
        <w:tc>
          <w:tcPr>
            <w:tcW w:type="dxa" w:w="3067"/>
          </w:tcPr>
          <w:p>
            <w:r>
              <w:t>상담·정서지원 특기 정합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베이지안 평점 예시: 1건@5.0 → 0.75 vs 200건@4.8 → 0.954. 표본 적은 단발 만점이 베테랑을 앞서지 못하게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성별 매칭 정책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500"/>
        <w:gridCol w:w="4800"/>
        <w:gridCol w:w="2900"/>
      </w:tblGrid>
      <w:tr>
        <w:trPr>
          <w:tblHeader/>
        </w:trPr>
        <w:tc>
          <w:tcPr>
            <w:tcW w:w="15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w="48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w="290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대상 카테고리</w:t>
            </w:r>
          </w:p>
        </w:tc>
      </w:tr>
      <w:tr>
        <w:tc>
          <w:tcPr>
            <w:tcW w:type="dxa" w:w="1500"/>
          </w:tcPr>
          <w:p>
            <w:r>
              <w:t>하드 강제</w:t>
            </w:r>
          </w:p>
        </w:tc>
        <w:tc>
          <w:tcPr>
            <w:tcW w:type="dxa" w:w="4800"/>
          </w:tcPr>
          <w:p>
            <w:r>
              <w:t>반대 성별을 풀에서 제외(폴백서도 유지). 동성 없으면 후보 0.</w:t>
            </w:r>
          </w:p>
        </w:tc>
        <w:tc>
          <w:tcPr>
            <w:tcW w:type="dxa" w:w="2900"/>
          </w:tcPr>
          <w:p>
            <w:r>
              <w:t>방문목욕</w:t>
            </w:r>
          </w:p>
        </w:tc>
      </w:tr>
      <w:tr>
        <w:tc>
          <w:tcPr>
            <w:tcW w:type="dxa" w:w="1500"/>
          </w:tcPr>
          <w:p>
            <w:r>
              <w:t>소프트 권장</w:t>
            </w:r>
          </w:p>
        </w:tc>
        <w:tc>
          <w:tcPr>
            <w:tcW w:type="dxa" w:w="4800"/>
          </w:tcPr>
          <w:p>
            <w:r>
              <w:t>선호 성별을 대상자 성별로 자동 프리셋(변경 가능). 동성 우선 정렬, 미일치 폴백 유지.</w:t>
            </w:r>
          </w:p>
        </w:tc>
        <w:tc>
          <w:tcPr>
            <w:tcW w:type="dxa" w:w="2900"/>
          </w:tcPr>
          <w:p>
            <w:r>
              <w:t>병원간병·방문요양·야간케어·단기보호·산후관리·산후 야간케어</w:t>
            </w:r>
          </w:p>
        </w:tc>
      </w:tr>
      <w:tr>
        <w:tc>
          <w:tcPr>
            <w:tcW w:type="dxa" w:w="1500"/>
          </w:tcPr>
          <w:p>
            <w:r>
              <w:t>무관</w:t>
            </w:r>
          </w:p>
        </w:tc>
        <w:tc>
          <w:tcPr>
            <w:tcW w:type="dxa" w:w="4800"/>
          </w:tcPr>
          <w:p>
            <w:r>
              <w:t>성별 신호 미적용. 순수 점수 정렬.</w:t>
            </w:r>
          </w:p>
        </w:tc>
        <w:tc>
          <w:tcPr>
            <w:tcW w:type="dxa" w:w="2900"/>
          </w:tcPr>
          <w:p>
            <w:r>
              <w:t>동행·생활지원(청소·수리·정리)·아이돌봄·마음돌봄</w:t>
            </w:r>
          </w:p>
        </w:tc>
      </w:tr>
    </w:tbl>
    <w:p>
      <w:pPr>
        <w:spacing w:after="60"/>
      </w:pP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소프트는 점수 가산이 아니라 ‘정렬 파티션’ — 일치 성별을 상위, 미일치는 폴백으로 유지(빈 결과 방지). 선호 성별 인력은 임계(min_score) 우회로 항상 포함.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하드(방문목욕)는 신체 노출을 동반하므로 반대 성별을 완전 배제 — 동성 없으면 매칭하지 않음.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소프트 채택 이유: 인력 성별 불균형(예: 간병 남성만)에서 하드 강제 시 반대 성별 대상자가 영구 0건 만료되어 서비스 마비.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카테고리별 매칭 기준 (종합)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730"/>
        <w:gridCol w:w="1213"/>
        <w:gridCol w:w="1719"/>
        <w:gridCol w:w="1921"/>
        <w:gridCol w:w="1618"/>
      </w:tblGrid>
      <w:tr>
        <w:trPr>
          <w:tblHeader/>
        </w:trPr>
        <w:tc>
          <w:tcPr>
            <w:tcW w:w="2730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w="121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w="171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요구 스킬</w:t>
            </w:r>
          </w:p>
        </w:tc>
        <w:tc>
          <w:tcPr>
            <w:tcW w:w="192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성별 정책</w:t>
            </w:r>
          </w:p>
        </w:tc>
        <w:tc>
          <w:tcPr>
            <w:tcW w:w="161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대상자</w:t>
            </w:r>
          </w:p>
        </w:tc>
      </w:tr>
      <w:tr>
        <w:tc>
          <w:tcPr>
            <w:tcW w:type="dxa" w:w="2730"/>
          </w:tcPr>
          <w:p>
            <w:r>
              <w:t>방문요양 VISIT_CARE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야간케어 NIGHT_CARE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단기보호 SHORT_STAY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방문목욕 BATH</w:t>
            </w:r>
          </w:p>
        </w:tc>
        <w:tc>
          <w:tcPr>
            <w:tcW w:type="dxa" w:w="1213"/>
          </w:tcPr>
          <w:p>
            <w:r>
              <w:t>시니어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하드 강제</w:t>
            </w:r>
          </w:p>
        </w:tc>
        <w:tc>
          <w:tcPr>
            <w:tcW w:type="dxa" w:w="1618"/>
          </w:tcPr>
          <w:p>
            <w:r>
              <w:t>어르신</w:t>
            </w:r>
          </w:p>
        </w:tc>
      </w:tr>
      <w:tr>
        <w:tc>
          <w:tcPr>
            <w:tcW w:type="dxa" w:w="2730"/>
          </w:tcPr>
          <w:p>
            <w:r>
              <w:t>병원간병 NURSING_HOSPITAL</w:t>
            </w:r>
          </w:p>
        </w:tc>
        <w:tc>
          <w:tcPr>
            <w:tcW w:type="dxa" w:w="1213"/>
          </w:tcPr>
          <w:p>
            <w:r>
              <w:t>간병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환자</w:t>
            </w:r>
          </w:p>
        </w:tc>
      </w:tr>
      <w:tr>
        <w:tc>
          <w:tcPr>
            <w:tcW w:type="dxa" w:w="2730"/>
          </w:tcPr>
          <w:p>
            <w:r>
              <w:t>가사청소 HK_CLEANING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hk_cleaning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가사수리 HK_REPAIR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hk_repair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정리수납 HK_ORGANIZING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hk_organizing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동행 LS_COMPANION</w:t>
            </w:r>
          </w:p>
        </w:tc>
        <w:tc>
          <w:tcPr>
            <w:tcW w:type="dxa" w:w="1213"/>
          </w:tcPr>
          <w:p>
            <w:r>
              <w:t>생활지원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주소(장소)</w:t>
            </w:r>
          </w:p>
        </w:tc>
      </w:tr>
      <w:tr>
        <w:tc>
          <w:tcPr>
            <w:tcW w:type="dxa" w:w="2730"/>
          </w:tcPr>
          <w:p>
            <w:r>
              <w:t>산후관리 PP_CARE</w:t>
            </w:r>
          </w:p>
        </w:tc>
        <w:tc>
          <w:tcPr>
            <w:tcW w:type="dxa" w:w="1213"/>
          </w:tcPr>
          <w:p>
            <w:r>
              <w:t>산모·산후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산모</w:t>
            </w:r>
          </w:p>
        </w:tc>
      </w:tr>
      <w:tr>
        <w:tc>
          <w:tcPr>
            <w:tcW w:type="dxa" w:w="2730"/>
          </w:tcPr>
          <w:p>
            <w:r>
              <w:t>산후 야간케어 PP_NIGHT</w:t>
            </w:r>
          </w:p>
        </w:tc>
        <w:tc>
          <w:tcPr>
            <w:tcW w:type="dxa" w:w="1213"/>
          </w:tcPr>
          <w:p>
            <w:r>
              <w:t>산모·산후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소프트 권장</w:t>
            </w:r>
          </w:p>
        </w:tc>
        <w:tc>
          <w:tcPr>
            <w:tcW w:type="dxa" w:w="1618"/>
          </w:tcPr>
          <w:p>
            <w:r>
              <w:t>산모</w:t>
            </w:r>
          </w:p>
        </w:tc>
      </w:tr>
      <w:tr>
        <w:tc>
          <w:tcPr>
            <w:tcW w:type="dxa" w:w="2730"/>
          </w:tcPr>
          <w:p>
            <w:r>
              <w:t>등하원동행 CC_PICKUP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놀이돌봄 CC_PLAY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영아돌봄 CC_INFANT</w:t>
            </w:r>
          </w:p>
        </w:tc>
        <w:tc>
          <w:tcPr>
            <w:tcW w:type="dxa" w:w="1213"/>
          </w:tcPr>
          <w:p>
            <w:r>
              <w:t>아이돌봄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아이</w:t>
            </w:r>
          </w:p>
        </w:tc>
      </w:tr>
      <w:tr>
        <w:tc>
          <w:tcPr>
            <w:tcW w:type="dxa" w:w="2730"/>
          </w:tcPr>
          <w:p>
            <w:r>
              <w:t>정서지원 MC_SUPPORT</w:t>
            </w:r>
          </w:p>
        </w:tc>
        <w:tc>
          <w:tcPr>
            <w:tcW w:type="dxa" w:w="1213"/>
          </w:tcPr>
          <w:p>
            <w:r>
              <w:t>마음돌봄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본인/가족</w:t>
            </w:r>
          </w:p>
        </w:tc>
      </w:tr>
      <w:tr>
        <w:tc>
          <w:tcPr>
            <w:tcW w:type="dxa" w:w="2730"/>
          </w:tcPr>
          <w:p>
            <w:r>
              <w:t>심리상담동행 MC_COMPANION</w:t>
            </w:r>
          </w:p>
        </w:tc>
        <w:tc>
          <w:tcPr>
            <w:tcW w:type="dxa" w:w="1213"/>
          </w:tcPr>
          <w:p>
            <w:r>
              <w:t>마음돌봄</w:t>
            </w:r>
          </w:p>
        </w:tc>
        <w:tc>
          <w:tcPr>
            <w:tcW w:type="dxa" w:w="1719"/>
          </w:tcPr>
          <w:p>
            <w:r>
              <w:t>—</w:t>
            </w:r>
          </w:p>
        </w:tc>
        <w:tc>
          <w:tcPr>
            <w:tcW w:type="dxa" w:w="1921"/>
          </w:tcPr>
          <w:p>
            <w:r>
              <w:t>무관</w:t>
            </w:r>
          </w:p>
        </w:tc>
        <w:tc>
          <w:tcPr>
            <w:tcW w:type="dxa" w:w="1618"/>
          </w:tcPr>
          <w:p>
            <w:r>
              <w:t>본인/가족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생활지원 도메인(청소·수리·정리·동행)은 대상이 사람이 아니라 주소(장소)이므로 동성 매칭이 성립하지 않는다(성별 무관). 아이돌봄·마음돌봄은 현재 성별 무관이며, 필요 시 보호자가 선호 성별을 지정한다.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8. 매칭 상태 흐름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712"/>
        <w:gridCol w:w="7488"/>
      </w:tblGrid>
      <w:tr>
        <w:trPr>
          <w:tblHeader/>
        </w:trPr>
        <w:tc>
          <w:tcPr>
            <w:tcW w:w="171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w="748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open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요청 생성됨, 후보 산출 대기/진행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matched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산출 완료(보호자 선택 대기)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matching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보호자가 후보 선택 → 인력 응답 대기</w:t>
            </w:r>
          </w:p>
        </w:tc>
      </w:tr>
      <w:tr>
        <w:tc>
          <w:tcPr>
            <w:tcW w:w="171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expired</w:t>
            </w:r>
          </w:p>
        </w:tc>
        <w:tc>
          <w:tcPr>
            <w:tcW w:w="748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적격 인력 0 → 후보 미산출(만료)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</w:rPr>
        <w:t>9. 학습기반 매칭 (L2R) — 룰 위의 학습 레이어</w:t>
      </w:r>
    </w:p>
    <w:p>
      <w:pPr/>
      <w:r>
        <w:rPr>
          <w:b w:val="0"/>
        </w:rPr>
        <w:t>rule-v3의 가중치(특기 0.4·거리 0.3·평점 0.2·경험 0.1 등)는 사람이 정한 휴리스틱이다. L2R(Learning-to-Rank)은 동일한 신호 위에 과거 '추천 후보 → 보호자 실제 선택' 이력을 정답으로 삼아 최적 가중을 데이터로 학습한다. 핵심 원칙은 '데이터가 충분할 때만 학습 모델을 쓰고, 부족하면 자동으로 rule-v3로 폴백'하여 정성껏 튜닝한 룰을 과적합 모델로 훼손하지 않는 것이다.</w:t>
      </w:r>
    </w:p>
    <w:p>
      <w:pPr/>
      <w:r>
        <w:rPr>
          <w:b/>
        </w:rPr>
        <w:t>9.1 학습 데이터·라벨</w:t>
      </w:r>
    </w:p>
    <w:p>
      <w:pPr/>
      <w:r>
        <w:rPr>
          <w:b w:val="0"/>
        </w:rPr>
        <w:t>match_candidates 1행 = 1 학습 샘플. 라벨 = 그 후보의 돌봄전문가가 해당 요청의 실제 매칭(matches)으로 선택됐는가(1/0). feature는 서빙과 동일한 함수(l2r.subscores)로 계산하여 학습-서빙 feature 불일치(skew)를 원천 차단한다.</w:t>
      </w:r>
    </w:p>
    <w:p>
      <w:pPr/>
      <w:r>
        <w:rPr>
          <w:b/>
        </w:rPr>
        <w:t>9.2 모델·블렌딩</w:t>
      </w:r>
    </w:p>
    <w:p>
      <w:pPr/>
      <w:r>
        <w:t>로지스틱 회귀로 P(선택)을 산출하고, 최종 점수 = (1 - w)·rule_score + w·P(선택) 로 재랭킹한다(w = 블렌딩 가중, 기본 0.5). 성별 정렬 파티션·하드 필터·임계(min_score) 우회 등 안전 정책은 rule-v3와 동일하게 점수 산출 바깥에서 그대로 적용된다.</w:t>
      </w:r>
    </w:p>
    <w:p>
      <w:pPr/>
      <w:r>
        <w:rPr>
          <w:b/>
        </w:rPr>
        <w:t>9.3 데이터 임계 게이트 (안전장치)</w:t>
      </w:r>
    </w:p>
    <w:p>
      <w:pPr/>
      <w:r>
        <w:rPr>
          <w:b w:val="0"/>
        </w:rPr>
        <w:t>학습 표본 수와 양성(선택) 표본 수가 임계 미달이거나 모델이 없으면 모델을 비활성화하고 순수 rule-v3로 동작한다. 표본이 임계를 넘으면 주간 재학습이 코드 변경 없이 L2R을 자동 활성화한다. 환경변수로 강제 on/off도 가능하다.</w:t>
      </w:r>
    </w:p>
    <w:p>
      <w:pPr/>
      <w:r>
        <w:rPr>
          <w:b/>
        </w:rPr>
        <w:t>9.4 게이트 파라미터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파라미터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기본값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의미</w:t>
            </w:r>
          </w:p>
        </w:tc>
      </w:tr>
      <w:tr>
        <w:tc>
          <w:tcPr>
            <w:tcW w:type="dxa" w:w="3213"/>
          </w:tcPr>
          <w:p>
            <w:r>
              <w:t>ML_L2R_MIN_SAMPLES</w:t>
            </w:r>
          </w:p>
        </w:tc>
        <w:tc>
          <w:tcPr>
            <w:tcW w:type="dxa" w:w="3213"/>
          </w:tcPr>
          <w:p>
            <w:r>
              <w:t>200</w:t>
            </w:r>
          </w:p>
        </w:tc>
        <w:tc>
          <w:tcPr>
            <w:tcW w:type="dxa" w:w="3213"/>
          </w:tcPr>
          <w:p>
            <w:r>
              <w:t>L2R 활성 최소 학습 표본 수</w:t>
            </w:r>
          </w:p>
        </w:tc>
      </w:tr>
      <w:tr>
        <w:tc>
          <w:tcPr>
            <w:tcW w:type="dxa" w:w="3213"/>
          </w:tcPr>
          <w:p>
            <w:r>
              <w:t>ML_L2R_MIN_POSITIVES</w:t>
            </w:r>
          </w:p>
        </w:tc>
        <w:tc>
          <w:tcPr>
            <w:tcW w:type="dxa" w:w="3213"/>
          </w:tcPr>
          <w:p>
            <w:r>
              <w:t>60</w:t>
            </w:r>
          </w:p>
        </w:tc>
        <w:tc>
          <w:tcPr>
            <w:tcW w:type="dxa" w:w="3213"/>
          </w:tcPr>
          <w:p>
            <w:r>
              <w:t>L2R 활성 최소 양성(선택) 표본 수</w:t>
            </w:r>
          </w:p>
        </w:tc>
      </w:tr>
      <w:tr>
        <w:tc>
          <w:tcPr>
            <w:tcW w:type="dxa" w:w="3213"/>
          </w:tcPr>
          <w:p>
            <w:r>
              <w:t>ML_L2R_ALPHA</w:t>
            </w:r>
          </w:p>
        </w:tc>
        <w:tc>
          <w:tcPr>
            <w:tcW w:type="dxa" w:w="3213"/>
          </w:tcPr>
          <w:p>
            <w:r>
              <w:t>0.5</w:t>
            </w:r>
          </w:p>
        </w:tc>
        <w:tc>
          <w:tcPr>
            <w:tcW w:type="dxa" w:w="3213"/>
          </w:tcPr>
          <w:p>
            <w:r>
              <w:t>블렌딩 가중(모델:룰 비중)</w:t>
            </w:r>
          </w:p>
        </w:tc>
      </w:tr>
      <w:tr>
        <w:tc>
          <w:tcPr>
            <w:tcW w:type="dxa" w:w="3213"/>
          </w:tcPr>
          <w:p>
            <w:r>
              <w:t>ML_L2R_ENABLED</w:t>
            </w:r>
          </w:p>
        </w:tc>
        <w:tc>
          <w:tcPr>
            <w:tcW w:type="dxa" w:w="3213"/>
          </w:tcPr>
          <w:p>
            <w:r>
              <w:t>(자동)</w:t>
            </w:r>
          </w:p>
        </w:tc>
        <w:tc>
          <w:tcPr>
            <w:tcW w:type="dxa" w:w="3213"/>
          </w:tcPr>
          <w:p>
            <w:r>
              <w:t>1=강제 활성 / 0=강제 비활성 / 미설정=임계 자동 판정</w:t>
            </w:r>
          </w:p>
        </w:tc>
      </w:tr>
    </w:tbl>
    <w:p>
      <w:pPr/>
      <w:r>
        <w:rPr>
          <w:b/>
        </w:rPr>
        <w:t>9.5 운영·재학습</w:t>
      </w:r>
    </w:p>
    <w:p>
      <w:pPr/>
      <w:r>
        <w:rPr>
          <w:b w:val="0"/>
        </w:rPr>
        <w:t>학습기 train_l2r.py가 DB 이력으로 재학습하며 교차검증 AUC를 산출하고 아티팩트(models/l2r/)를 저장한다. retrain.sh가 매주 일요일 04:10(KST) 재학습 후 AI 서비스를 재시작해 새 모델과 게이트 판정을 반영한다. 상태는 GET /ai/match/l2r-status 와 /health 의 matching 태그로 점검한다.</w:t>
      </w:r>
    </w:p>
    <w:p>
      <w:pPr/>
      <w:r>
        <w:t>현황(2026-06-28): 학습 표본 71·양성 17·교차검증 AUC 0.557(무작위 0.5 수준) → 게이트 OFF, 라이브는 rule-v3 유지. 파이프라인·재학습 자동화는 완성되어 데이터가 임계를 넘으면 자동 고도화된다.</w:t>
      </w:r>
    </w:p>
    <w:p>
      <w:pPr>
        <w:pStyle w:val="Heading1"/>
        <w:spacing w:after="140" w:line="276" w:lineRule="auto"/>
      </w:pPr>
      <w:r>
        <w:t>10. 한계 및 향후 과제</w:t>
      </w:r>
    </w:p>
    <w:p>
      <w:pPr>
        <w:ind w:left="360" w:hanging="180"/>
        <w:spacing w:after="60" w:line="276" w:lineRule="auto"/>
      </w:pPr>
      <w:r>
        <w:t>•  학습형 매칭은 경량 L2R(로지스틱 회귀, 9장)로 도입 — 다만 현재 학습 데이터 부족으로 게이트 OFF 상태(라이브는 rule-v3 동작), 데이터 축적 시 자동 활성. ALS·임베딩(KoSimCSE)은 데이터·의존성 제약으로 보류.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가용성(스케줄) 충돌 신호는 스케줄 데이터 불완전으로 미반영.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거리 신호는 좌표가 채워져야 변별력 발생(미상 시 0.5 중립).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