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  <w:spacing w:after="160"/>
      </w:pPr>
      <w:r>
        <w:drawing>
          <wp:inline distT="0" distB="0" distL="0" distR="0">
            <wp:extent cx="540000" cy="54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60" w:line="276" w:lineRule="auto"/>
      </w:pPr>
      <w:r>
        <w:rPr>
          <w:rFonts w:ascii="맑은 고딕" w:hAnsi="맑은 고딕" w:eastAsia="맑은 고딕"/>
        </w:rPr>
        <w:t xml:space="preserve">Care&amp; AI 이상징후 탐지 설계 문서</w:t>
      </w:r>
    </w:p>
    <w:p>
      <w:pPr>
        <w:spacing w:after="80" w:line="276" w:lineRule="auto"/>
      </w:pPr>
      <w:r>
        <w:rPr>
          <w:rFonts w:ascii="맑은 고딕" w:hAnsi="맑은 고딕" w:eastAsia="맑은 고딕"/>
          <w:color w:val="666666"/>
          <w:sz w:val="22"/>
          <w:szCs w:val="22"/>
        </w:rPr>
        <w:t xml:space="preserve">어르신 활력·생활 지표 기반 위험징후 조기 탐지 (anomaly rule-v1)</w:t>
      </w:r>
    </w:p>
    <w:p>
      <w:pPr>
        <w:spacing w:after="24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작성일: 2026-06-27   ·   대상: careand.aiclaude.kr AI 서비스(FastAPI)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개요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케어 세션에서 수집된 어르신의 식사·수면·정서·활력징후(혈압·심박·체온)를 규칙 기반으로 평가하여 영양·우울·섬망·낙상 4개 위험 유형의 점수를 산출하고, 가장 높은 위험을 대표 알림으로 제시한다. 현재 rule-v1(고정 임계 규칙)로 구현되어 설명 가능성이 높고 데이터 의존도가 낮다.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입력 피처 (AnomalyFeatures)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580"/>
        <w:gridCol w:w="3815"/>
        <w:gridCol w:w="2805"/>
      </w:tblGrid>
      <w:tr>
        <w:trPr>
          <w:tblHeader/>
        </w:trPr>
        <w:tc>
          <w:tcPr>
            <w:tcW w:w="258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피처</w:t>
            </w:r>
          </w:p>
        </w:tc>
        <w:tc>
          <w:tcPr>
            <w:tcW w:w="381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w="280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w="258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window_days</w:t>
            </w:r>
          </w:p>
        </w:tc>
        <w:tc>
          <w:tcPr>
            <w:tcW w:w="381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집계 기간(일)</w:t>
            </w:r>
          </w:p>
        </w:tc>
        <w:tc>
          <w:tcPr>
            <w:tcW w:w="28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기본 7</w:t>
            </w:r>
          </w:p>
        </w:tc>
      </w:tr>
      <w:tr>
        <w:tc>
          <w:tcPr>
            <w:tcW w:w="258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meal_pct_avg</w:t>
            </w:r>
          </w:p>
        </w:tc>
        <w:tc>
          <w:tcPr>
            <w:tcW w:w="381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평균 식사량(%)</w:t>
            </w:r>
          </w:p>
        </w:tc>
        <w:tc>
          <w:tcPr>
            <w:tcW w:w="28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0~100</w:t>
            </w:r>
          </w:p>
        </w:tc>
      </w:tr>
      <w:tr>
        <w:tc>
          <w:tcPr>
            <w:tcW w:w="258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meal_pct_3day_min</w:t>
            </w:r>
          </w:p>
        </w:tc>
        <w:tc>
          <w:tcPr>
            <w:tcW w:w="381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최근 3일 평균 식사량(%)</w:t>
            </w:r>
          </w:p>
        </w:tc>
        <w:tc>
          <w:tcPr>
            <w:tcW w:w="28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급감 감지</w:t>
            </w:r>
          </w:p>
        </w:tc>
      </w:tr>
      <w:tr>
        <w:tc>
          <w:tcPr>
            <w:tcW w:w="258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sleep_hours_avg</w:t>
            </w:r>
          </w:p>
        </w:tc>
        <w:tc>
          <w:tcPr>
            <w:tcW w:w="381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평균 수면시간(h)</w:t>
            </w:r>
          </w:p>
        </w:tc>
        <w:tc>
          <w:tcPr>
            <w:tcW w:w="28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w="258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mood_score_avg</w:t>
            </w:r>
          </w:p>
        </w:tc>
        <w:tc>
          <w:tcPr>
            <w:tcW w:w="381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평균 정서점수</w:t>
            </w:r>
          </w:p>
        </w:tc>
        <w:tc>
          <w:tcPr>
            <w:tcW w:w="28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0~100</w:t>
            </w:r>
          </w:p>
        </w:tc>
      </w:tr>
      <w:tr>
        <w:tc>
          <w:tcPr>
            <w:tcW w:w="258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bp_sys_max / bp_sys_min</w:t>
            </w:r>
          </w:p>
        </w:tc>
        <w:tc>
          <w:tcPr>
            <w:tcW w:w="381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수축기 혈압 최고/최저</w:t>
            </w:r>
          </w:p>
        </w:tc>
        <w:tc>
          <w:tcPr>
            <w:tcW w:w="28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w="258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heart_rate_max / min</w:t>
            </w:r>
          </w:p>
        </w:tc>
        <w:tc>
          <w:tcPr>
            <w:tcW w:w="381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심박수 최고/최저</w:t>
            </w:r>
          </w:p>
        </w:tc>
        <w:tc>
          <w:tcPr>
            <w:tcW w:w="28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w="258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body_temp_max</w:t>
            </w:r>
          </w:p>
        </w:tc>
        <w:tc>
          <w:tcPr>
            <w:tcW w:w="381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최고 체온(°C)</w:t>
            </w:r>
          </w:p>
        </w:tc>
        <w:tc>
          <w:tcPr>
            <w:tcW w:w="28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위험 유형별 판정 규칙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800"/>
        <w:gridCol w:w="4200"/>
        <w:gridCol w:w="3200"/>
      </w:tblGrid>
      <w:tr>
        <w:trPr>
          <w:tblHeader/>
        </w:trPr>
        <w:tc>
          <w:tcPr>
            <w:tcW w:w="18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위험 유형</w:t>
            </w:r>
          </w:p>
        </w:tc>
        <w:tc>
          <w:tcPr>
            <w:tcW w:w="42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트리거 규칙</w:t>
            </w:r>
          </w:p>
        </w:tc>
        <w:tc>
          <w:tcPr>
            <w:tcW w:w="32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점수 산식(최대 100)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영양(nutrition)</w:t>
            </w:r>
          </w:p>
        </w:tc>
        <w:tc>
          <w:tcPr>
            <w:tcW w:w="42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평균 식사 &lt;70% 또는 최근3일 &lt;50%</w:t>
            </w:r>
          </w:p>
        </w:tc>
        <w:tc>
          <w:tcPr>
            <w:tcW w:w="32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(70−평균)×1.5 / 50+(50−3일)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우울(depression)</w:t>
            </w:r>
          </w:p>
        </w:tc>
        <w:tc>
          <w:tcPr>
            <w:tcW w:w="42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평균 정서점수 &lt;60</w:t>
            </w:r>
          </w:p>
        </w:tc>
        <w:tc>
          <w:tcPr>
            <w:tcW w:w="32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(60−정서)×1.5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섬망(delirium)</w:t>
            </w:r>
          </w:p>
        </w:tc>
        <w:tc>
          <w:tcPr>
            <w:tcW w:w="42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수면 &lt;5h, 심박 변동 &gt;40bpm, 체온 ≥38°C</w:t>
            </w:r>
          </w:p>
        </w:tc>
        <w:tc>
          <w:tcPr>
            <w:tcW w:w="32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(5−수면)×15 + (변동−40) + 30(발열)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낙상(fall)</w:t>
            </w:r>
          </w:p>
        </w:tc>
        <w:tc>
          <w:tcPr>
            <w:tcW w:w="42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수축기 변동 &gt;30mmHg 또는 최고 &gt;160</w:t>
            </w:r>
          </w:p>
        </w:tc>
        <w:tc>
          <w:tcPr>
            <w:tcW w:w="32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(변동−30)×2 + 20(고혈압)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4. 점수·심각도 산정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각 위험 유형 점수는 0~100으로 클램프한다. 발생한 위험 중 최고 점수를 대표 위험(risk_type)으로 선택하고, 점수에 따라 심각도(severity)를 매긴다.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995"/>
        <w:gridCol w:w="7205"/>
      </w:tblGrid>
      <w:tr>
        <w:trPr>
          <w:tblHeader/>
        </w:trPr>
        <w:tc>
          <w:tcPr>
            <w:tcW w:w="199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심각도</w:t>
            </w:r>
          </w:p>
        </w:tc>
        <w:tc>
          <w:tcPr>
            <w:tcW w:w="720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점수 구간</w:t>
            </w:r>
          </w:p>
        </w:tc>
      </w:tr>
      <w:tr>
        <w:tc>
          <w:tcPr>
            <w:tcW w:w="19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critical</w:t>
            </w:r>
          </w:p>
        </w:tc>
        <w:tc>
          <w:tcPr>
            <w:tcW w:w="72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80 이상</w:t>
            </w:r>
          </w:p>
        </w:tc>
      </w:tr>
      <w:tr>
        <w:tc>
          <w:tcPr>
            <w:tcW w:w="19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high</w:t>
            </w:r>
          </w:p>
        </w:tc>
        <w:tc>
          <w:tcPr>
            <w:tcW w:w="72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60~79</w:t>
            </w:r>
          </w:p>
        </w:tc>
      </w:tr>
      <w:tr>
        <w:tc>
          <w:tcPr>
            <w:tcW w:w="19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mid</w:t>
            </w:r>
          </w:p>
        </w:tc>
        <w:tc>
          <w:tcPr>
            <w:tcW w:w="72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40~59</w:t>
            </w:r>
          </w:p>
        </w:tc>
      </w:tr>
      <w:tr>
        <w:tc>
          <w:tcPr>
            <w:tcW w:w="19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low</w:t>
            </w:r>
          </w:p>
        </w:tc>
        <w:tc>
          <w:tcPr>
            <w:tcW w:w="720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40 미만(또는 위험 없음)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5. 응답 및 권고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217"/>
        <w:gridCol w:w="6983"/>
      </w:tblGrid>
      <w:tr>
        <w:trPr>
          <w:tblHeader/>
        </w:trPr>
        <w:tc>
          <w:tcPr>
            <w:tcW w:w="221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w="698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w="221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risk_score</w:t>
            </w:r>
          </w:p>
        </w:tc>
        <w:tc>
          <w:tcPr>
            <w:tcW w:w="69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대표 위험 점수(0~100)</w:t>
            </w:r>
          </w:p>
        </w:tc>
      </w:tr>
      <w:tr>
        <w:tc>
          <w:tcPr>
            <w:tcW w:w="221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risk_type</w:t>
            </w:r>
          </w:p>
        </w:tc>
        <w:tc>
          <w:tcPr>
            <w:tcW w:w="69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대표 위험 유형(nutrition/depression/delirium/fall/none)</w:t>
            </w:r>
          </w:p>
        </w:tc>
      </w:tr>
      <w:tr>
        <w:tc>
          <w:tcPr>
            <w:tcW w:w="221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severity</w:t>
            </w:r>
          </w:p>
        </w:tc>
        <w:tc>
          <w:tcPr>
            <w:tcW w:w="69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심각도(critical/high/mid/low)</w:t>
            </w:r>
          </w:p>
        </w:tc>
      </w:tr>
      <w:tr>
        <w:tc>
          <w:tcPr>
            <w:tcW w:w="221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trigger_pattern</w:t>
            </w:r>
          </w:p>
        </w:tc>
        <w:tc>
          <w:tcPr>
            <w:tcW w:w="69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발동 근거 목록(예: 평균 식사량 55%)</w:t>
            </w:r>
          </w:p>
        </w:tc>
      </w:tr>
      <w:tr>
        <w:tc>
          <w:tcPr>
            <w:tcW w:w="221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recommendation</w:t>
            </w:r>
          </w:p>
        </w:tc>
        <w:tc>
          <w:tcPr>
            <w:tcW w:w="69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유형별 권고 조치 목록</w:t>
            </w:r>
          </w:p>
        </w:tc>
      </w:tr>
      <w:tr>
        <w:tc>
          <w:tcPr>
            <w:tcW w:w="221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all_risks</w:t>
            </w:r>
          </w:p>
        </w:tc>
        <w:tc>
          <w:tcPr>
            <w:tcW w:w="69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발생한 전체 위험 목록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권고 예: 영양→수분/영양 보충식·영양 상담, 우울→가족 방문·정서 활동·정신과 상담, 섬망→수면환경 점검·즉시 의료 상담·탈수/약물 점검, 낙상→혈압약 확인·환경 안전점검·보행 보조.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6. API 및 백엔드 연동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POST /ai/anomaly/score   ·   인증: Bearer 토큰(AI_SERVICE_TOKEN)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백엔드는 어르신의 최근 활력·생활 기록을 집계해 AnomalyFeatures 를 구성하고 스코어를 요청한다(POST /seniors/{id}/anomaly-alerts/scan). 반환된 위험은 알림으로 저장되어 관리자 모니터링·보호자 통지의 근거가 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7. 한계 및 향후 과제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고정 임계 규칙 기반 — 개인별 기준선(baseline) 미반영. 평소 소식하는 어르신은 오탐 가능.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지표 간 상호작용·추세(점진적 악화)는 부분 반영. 시계열 추세·개인화 모델은 향후 과제.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입력 데이터(식사·활력) 기록 충실도에 정확도가 좌우됨.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40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