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425" w:rsidRPr="00010D08" w:rsidRDefault="00010D08" w:rsidP="0018645F">
      <w:pPr>
        <w:pStyle w:val="Heading1"/>
        <w:ind w:left="-450" w:right="-630"/>
        <w:rPr>
          <w:b w:val="0"/>
          <w:i/>
          <w:sz w:val="34"/>
          <w:szCs w:val="34"/>
        </w:rPr>
      </w:pPr>
      <w:r>
        <w:rPr>
          <w:b w:val="0"/>
          <w:noProof/>
          <w:sz w:val="34"/>
          <w:szCs w:val="34"/>
        </w:rPr>
        <w:drawing>
          <wp:anchor distT="0" distB="0" distL="114300" distR="114300" simplePos="0" relativeHeight="251658240" behindDoc="0" locked="0" layoutInCell="1" allowOverlap="1">
            <wp:simplePos x="0" y="0"/>
            <wp:positionH relativeFrom="margin">
              <wp:posOffset>-445770</wp:posOffset>
            </wp:positionH>
            <wp:positionV relativeFrom="margin">
              <wp:posOffset>-510540</wp:posOffset>
            </wp:positionV>
            <wp:extent cx="1581150" cy="403860"/>
            <wp:effectExtent l="19050" t="0" r="0" b="0"/>
            <wp:wrapSquare wrapText="bothSides"/>
            <wp:docPr id="3" name="Picture 0" descr="PHII logo July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I logo July 2010.jpg"/>
                    <pic:cNvPicPr/>
                  </pic:nvPicPr>
                  <pic:blipFill>
                    <a:blip r:embed="rId8" cstate="print"/>
                    <a:stretch>
                      <a:fillRect/>
                    </a:stretch>
                  </pic:blipFill>
                  <pic:spPr>
                    <a:xfrm>
                      <a:off x="0" y="0"/>
                      <a:ext cx="1581150" cy="403860"/>
                    </a:xfrm>
                    <a:prstGeom prst="rect">
                      <a:avLst/>
                    </a:prstGeom>
                  </pic:spPr>
                </pic:pic>
              </a:graphicData>
            </a:graphic>
          </wp:anchor>
        </w:drawing>
      </w:r>
      <w:r w:rsidRPr="004073F5">
        <w:rPr>
          <w:b w:val="0"/>
          <w:sz w:val="34"/>
          <w:szCs w:val="34"/>
        </w:rPr>
        <w:t>Project Charter</w:t>
      </w:r>
      <w:r>
        <w:rPr>
          <w:b w:val="0"/>
          <w:noProof/>
          <w:sz w:val="34"/>
          <w:szCs w:val="34"/>
        </w:rPr>
        <w:t xml:space="preserve"> </w:t>
      </w:r>
    </w:p>
    <w:p w:rsidR="00633425" w:rsidRDefault="00633425" w:rsidP="00010D08">
      <w:pPr>
        <w:spacing w:after="0"/>
        <w:rPr>
          <w:b/>
          <w:bCs/>
          <w:sz w:val="28"/>
          <w:szCs w:val="28"/>
        </w:rPr>
      </w:pPr>
    </w:p>
    <w:tbl>
      <w:tblPr>
        <w:tblW w:w="9630" w:type="dxa"/>
        <w:tblInd w:w="-3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70"/>
        <w:gridCol w:w="5490"/>
        <w:gridCol w:w="2070"/>
      </w:tblGrid>
      <w:tr w:rsidR="00071070" w:rsidRPr="00D078E8" w:rsidTr="00071070">
        <w:trPr>
          <w:trHeight w:val="500"/>
        </w:trPr>
        <w:tc>
          <w:tcPr>
            <w:tcW w:w="2070" w:type="dxa"/>
            <w:tcBorders>
              <w:right w:val="nil"/>
            </w:tcBorders>
          </w:tcPr>
          <w:p w:rsidR="00071070" w:rsidRPr="008F0400" w:rsidRDefault="00071070" w:rsidP="002F3267">
            <w:pPr>
              <w:spacing w:before="120" w:after="0"/>
              <w:rPr>
                <w:rFonts w:ascii="Calibri" w:hAnsi="Calibri" w:cs="Calibri"/>
                <w:b/>
                <w:bCs/>
                <w:color w:val="054BA5"/>
                <w:sz w:val="22"/>
                <w:szCs w:val="22"/>
              </w:rPr>
            </w:pPr>
            <w:r w:rsidRPr="008F0400">
              <w:rPr>
                <w:rFonts w:ascii="Calibri" w:hAnsi="Calibri" w:cs="Calibri"/>
                <w:b/>
                <w:bCs/>
                <w:color w:val="054BA5"/>
                <w:sz w:val="22"/>
                <w:szCs w:val="22"/>
              </w:rPr>
              <w:t>Project Name</w:t>
            </w:r>
            <w:r>
              <w:rPr>
                <w:rFonts w:ascii="Calibri" w:hAnsi="Calibri" w:cs="Calibri"/>
                <w:b/>
                <w:bCs/>
                <w:color w:val="054BA5"/>
                <w:sz w:val="22"/>
                <w:szCs w:val="22"/>
              </w:rPr>
              <w:t xml:space="preserve"> </w:t>
            </w:r>
          </w:p>
        </w:tc>
        <w:tc>
          <w:tcPr>
            <w:tcW w:w="5490" w:type="dxa"/>
            <w:tcBorders>
              <w:left w:val="nil"/>
            </w:tcBorders>
          </w:tcPr>
          <w:p w:rsidR="00071070" w:rsidRPr="002F3267" w:rsidRDefault="00071070" w:rsidP="002F0D9B">
            <w:pPr>
              <w:pStyle w:val="Header"/>
              <w:tabs>
                <w:tab w:val="clear" w:pos="4320"/>
                <w:tab w:val="clear" w:pos="8640"/>
              </w:tabs>
              <w:spacing w:before="120"/>
              <w:rPr>
                <w:rFonts w:cs="Times New Roman"/>
                <w:sz w:val="22"/>
                <w:szCs w:val="22"/>
              </w:rPr>
            </w:pPr>
            <w:r w:rsidRPr="002F3267">
              <w:rPr>
                <w:rFonts w:ascii="Calibri" w:hAnsi="Calibri" w:cs="Calibri"/>
                <w:b/>
                <w:bCs/>
                <w:sz w:val="22"/>
                <w:szCs w:val="22"/>
              </w:rPr>
              <w:t xml:space="preserve">IIS-EHR Bi-Directional </w:t>
            </w:r>
            <w:r w:rsidR="002C7F52">
              <w:rPr>
                <w:rFonts w:ascii="Calibri" w:hAnsi="Calibri" w:cs="Calibri"/>
                <w:b/>
                <w:bCs/>
                <w:sz w:val="22"/>
                <w:szCs w:val="22"/>
              </w:rPr>
              <w:t xml:space="preserve">Query </w:t>
            </w:r>
            <w:r w:rsidRPr="002F3267">
              <w:rPr>
                <w:rFonts w:ascii="Calibri" w:hAnsi="Calibri" w:cs="Calibri"/>
                <w:b/>
                <w:bCs/>
                <w:sz w:val="22"/>
                <w:szCs w:val="22"/>
              </w:rPr>
              <w:t>Exchange Requirements</w:t>
            </w:r>
          </w:p>
        </w:tc>
        <w:tc>
          <w:tcPr>
            <w:tcW w:w="2070" w:type="dxa"/>
            <w:tcBorders>
              <w:left w:val="nil"/>
            </w:tcBorders>
          </w:tcPr>
          <w:p w:rsidR="00071070" w:rsidRPr="002F3267" w:rsidRDefault="00071070" w:rsidP="00537679">
            <w:pPr>
              <w:pStyle w:val="Header"/>
              <w:tabs>
                <w:tab w:val="clear" w:pos="4320"/>
                <w:tab w:val="clear" w:pos="8640"/>
              </w:tabs>
              <w:spacing w:before="120"/>
              <w:rPr>
                <w:rFonts w:cs="Times New Roman"/>
                <w:sz w:val="22"/>
                <w:szCs w:val="22"/>
              </w:rPr>
            </w:pPr>
            <w:r w:rsidRPr="00D078E8">
              <w:rPr>
                <w:rFonts w:ascii="Calibri" w:hAnsi="Calibri" w:cs="Calibri"/>
                <w:b/>
                <w:bCs/>
                <w:sz w:val="22"/>
                <w:szCs w:val="22"/>
              </w:rPr>
              <w:t>Date:</w:t>
            </w:r>
            <w:r>
              <w:rPr>
                <w:rFonts w:ascii="Calibri" w:hAnsi="Calibri" w:cs="Calibri"/>
                <w:b/>
                <w:bCs/>
                <w:sz w:val="22"/>
                <w:szCs w:val="22"/>
              </w:rPr>
              <w:t xml:space="preserve"> </w:t>
            </w:r>
            <w:r w:rsidR="00537679">
              <w:rPr>
                <w:rFonts w:ascii="Calibri" w:hAnsi="Calibri" w:cs="Calibri"/>
                <w:bCs/>
                <w:sz w:val="22"/>
                <w:szCs w:val="22"/>
              </w:rPr>
              <w:t>Jan. 9</w:t>
            </w:r>
            <w:r w:rsidRPr="002F3267">
              <w:rPr>
                <w:rFonts w:ascii="Calibri" w:hAnsi="Calibri" w:cs="Calibri"/>
                <w:bCs/>
                <w:sz w:val="22"/>
                <w:szCs w:val="22"/>
              </w:rPr>
              <w:t>, 201</w:t>
            </w:r>
            <w:r w:rsidR="00537679">
              <w:rPr>
                <w:rFonts w:ascii="Calibri" w:hAnsi="Calibri" w:cs="Calibri"/>
                <w:bCs/>
                <w:sz w:val="22"/>
                <w:szCs w:val="22"/>
              </w:rPr>
              <w:t>3</w:t>
            </w:r>
          </w:p>
        </w:tc>
      </w:tr>
      <w:tr w:rsidR="00633425" w:rsidRPr="00D078E8">
        <w:trPr>
          <w:cantSplit/>
          <w:trHeight w:val="462"/>
        </w:trPr>
        <w:tc>
          <w:tcPr>
            <w:tcW w:w="2070" w:type="dxa"/>
            <w:tcBorders>
              <w:right w:val="nil"/>
            </w:tcBorders>
          </w:tcPr>
          <w:p w:rsidR="00633425" w:rsidRPr="008946A5" w:rsidRDefault="00633425" w:rsidP="002F0D9B">
            <w:pPr>
              <w:spacing w:before="120" w:after="0"/>
              <w:rPr>
                <w:rFonts w:ascii="Calibri" w:hAnsi="Calibri" w:cs="Calibri"/>
                <w:b/>
                <w:bCs/>
                <w:color w:val="054BA5"/>
                <w:sz w:val="22"/>
                <w:szCs w:val="22"/>
              </w:rPr>
            </w:pPr>
            <w:r w:rsidRPr="008946A5">
              <w:rPr>
                <w:rFonts w:ascii="Calibri" w:hAnsi="Calibri" w:cs="Calibri"/>
                <w:b/>
                <w:bCs/>
                <w:color w:val="054BA5"/>
                <w:sz w:val="22"/>
                <w:szCs w:val="22"/>
              </w:rPr>
              <w:t>Project Sponsor</w:t>
            </w:r>
          </w:p>
        </w:tc>
        <w:tc>
          <w:tcPr>
            <w:tcW w:w="7560" w:type="dxa"/>
            <w:gridSpan w:val="2"/>
            <w:tcBorders>
              <w:left w:val="nil"/>
            </w:tcBorders>
          </w:tcPr>
          <w:p w:rsidR="00633425" w:rsidRPr="00D078E8" w:rsidRDefault="002F3267" w:rsidP="002F0D9B">
            <w:pPr>
              <w:spacing w:before="120" w:after="120"/>
              <w:rPr>
                <w:rFonts w:ascii="Calibri" w:hAnsi="Calibri" w:cs="Calibri"/>
                <w:sz w:val="22"/>
                <w:szCs w:val="22"/>
              </w:rPr>
            </w:pPr>
            <w:r>
              <w:rPr>
                <w:rFonts w:ascii="Calibri" w:hAnsi="Calibri" w:cs="Calibri"/>
                <w:sz w:val="22"/>
                <w:szCs w:val="22"/>
              </w:rPr>
              <w:t>PHII; HRSA/MCHB</w:t>
            </w:r>
          </w:p>
        </w:tc>
      </w:tr>
      <w:tr w:rsidR="00633425" w:rsidRPr="00D078E8">
        <w:trPr>
          <w:cantSplit/>
        </w:trPr>
        <w:tc>
          <w:tcPr>
            <w:tcW w:w="2070" w:type="dxa"/>
            <w:tcBorders>
              <w:right w:val="nil"/>
            </w:tcBorders>
          </w:tcPr>
          <w:p w:rsidR="00633425" w:rsidRPr="008946A5" w:rsidRDefault="00071070" w:rsidP="002F0D9B">
            <w:pPr>
              <w:spacing w:before="120" w:after="0"/>
              <w:rPr>
                <w:rFonts w:ascii="Calibri" w:hAnsi="Calibri" w:cs="Calibri"/>
                <w:b/>
                <w:bCs/>
                <w:color w:val="054BA5"/>
                <w:sz w:val="22"/>
                <w:szCs w:val="22"/>
              </w:rPr>
            </w:pPr>
            <w:r>
              <w:rPr>
                <w:rFonts w:ascii="Calibri" w:hAnsi="Calibri" w:cs="Calibri"/>
                <w:b/>
                <w:bCs/>
                <w:color w:val="054BA5"/>
                <w:sz w:val="22"/>
                <w:szCs w:val="22"/>
              </w:rPr>
              <w:t>Stakeholders</w:t>
            </w:r>
          </w:p>
        </w:tc>
        <w:tc>
          <w:tcPr>
            <w:tcW w:w="7560" w:type="dxa"/>
            <w:gridSpan w:val="2"/>
            <w:tcBorders>
              <w:left w:val="nil"/>
            </w:tcBorders>
          </w:tcPr>
          <w:p w:rsidR="008C6E5E" w:rsidRDefault="002F3267" w:rsidP="00864AB8">
            <w:pPr>
              <w:spacing w:before="120" w:after="120"/>
              <w:rPr>
                <w:rFonts w:ascii="Calibri" w:hAnsi="Calibri" w:cs="Calibri"/>
                <w:sz w:val="22"/>
                <w:szCs w:val="22"/>
              </w:rPr>
            </w:pPr>
            <w:r>
              <w:rPr>
                <w:rFonts w:ascii="Calibri" w:hAnsi="Calibri" w:cs="Calibri"/>
                <w:sz w:val="22"/>
                <w:szCs w:val="22"/>
              </w:rPr>
              <w:t>AIRA and CDC/NCIRD/IISSB</w:t>
            </w:r>
          </w:p>
          <w:p w:rsidR="00891EA4" w:rsidRPr="00D078E8" w:rsidRDefault="00891EA4" w:rsidP="00891EA4">
            <w:pPr>
              <w:spacing w:before="120" w:after="120"/>
              <w:rPr>
                <w:rFonts w:ascii="Calibri" w:hAnsi="Calibri" w:cs="Calibri"/>
                <w:sz w:val="22"/>
                <w:szCs w:val="22"/>
              </w:rPr>
            </w:pPr>
            <w:r>
              <w:rPr>
                <w:rFonts w:ascii="Calibri" w:hAnsi="Calibri" w:cs="Calibri"/>
                <w:sz w:val="22"/>
                <w:szCs w:val="22"/>
              </w:rPr>
              <w:t>IIS and EHR system vendors as users; CMS and ONC as critical stakeholders</w:t>
            </w:r>
            <w:r w:rsidR="00F842A8">
              <w:rPr>
                <w:rFonts w:ascii="Calibri" w:hAnsi="Calibri" w:cs="Calibri"/>
                <w:sz w:val="22"/>
                <w:szCs w:val="22"/>
              </w:rPr>
              <w:t>; HIEs as a secondary stakeholder</w:t>
            </w:r>
          </w:p>
        </w:tc>
      </w:tr>
      <w:tr w:rsidR="002F3267" w:rsidRPr="00D078E8" w:rsidTr="00050EBC">
        <w:tblPrEx>
          <w:tblBorders>
            <w:insideV w:val="none" w:sz="0" w:space="0" w:color="auto"/>
          </w:tblBorders>
        </w:tblPrEx>
        <w:trPr>
          <w:trHeight w:val="1659"/>
        </w:trPr>
        <w:tc>
          <w:tcPr>
            <w:tcW w:w="9630" w:type="dxa"/>
            <w:gridSpan w:val="3"/>
          </w:tcPr>
          <w:p w:rsidR="002F3267" w:rsidRDefault="002F3267" w:rsidP="002F3267">
            <w:pPr>
              <w:spacing w:before="60" w:after="120"/>
              <w:rPr>
                <w:rFonts w:ascii="Calibri" w:hAnsi="Calibri" w:cs="Calibri"/>
                <w:b/>
                <w:bCs/>
                <w:color w:val="054BA5"/>
                <w:sz w:val="22"/>
                <w:szCs w:val="22"/>
              </w:rPr>
            </w:pPr>
            <w:r w:rsidRPr="008946A5">
              <w:rPr>
                <w:rFonts w:ascii="Calibri" w:hAnsi="Calibri" w:cs="Calibri"/>
                <w:b/>
                <w:bCs/>
                <w:color w:val="054BA5"/>
                <w:sz w:val="22"/>
                <w:szCs w:val="22"/>
              </w:rPr>
              <w:t>Project Purpose</w:t>
            </w:r>
            <w:r w:rsidR="00CD009C">
              <w:rPr>
                <w:rFonts w:ascii="Calibri" w:hAnsi="Calibri" w:cs="Calibri"/>
                <w:b/>
                <w:bCs/>
                <w:color w:val="054BA5"/>
                <w:sz w:val="22"/>
                <w:szCs w:val="22"/>
              </w:rPr>
              <w:t>s</w:t>
            </w:r>
            <w:r w:rsidRPr="008946A5">
              <w:rPr>
                <w:rFonts w:ascii="Calibri" w:hAnsi="Calibri" w:cs="Calibri"/>
                <w:b/>
                <w:bCs/>
                <w:color w:val="054BA5"/>
                <w:sz w:val="22"/>
                <w:szCs w:val="22"/>
              </w:rPr>
              <w:t xml:space="preserve"> </w:t>
            </w:r>
            <w:r>
              <w:rPr>
                <w:rFonts w:ascii="Calibri" w:hAnsi="Calibri" w:cs="Calibri"/>
                <w:b/>
                <w:bCs/>
                <w:color w:val="054BA5"/>
                <w:sz w:val="22"/>
                <w:szCs w:val="22"/>
              </w:rPr>
              <w:t xml:space="preserve">           </w:t>
            </w:r>
          </w:p>
          <w:p w:rsidR="002F3267" w:rsidRPr="00E37349" w:rsidRDefault="002F3267" w:rsidP="00CD009C">
            <w:pPr>
              <w:pStyle w:val="ListParagraph"/>
              <w:numPr>
                <w:ilvl w:val="0"/>
                <w:numId w:val="12"/>
              </w:numPr>
              <w:spacing w:before="60" w:after="120"/>
              <w:rPr>
                <w:rFonts w:ascii="Calibri" w:hAnsi="Calibri" w:cs="Calibri"/>
                <w:bCs/>
                <w:sz w:val="22"/>
                <w:szCs w:val="22"/>
              </w:rPr>
            </w:pPr>
            <w:r w:rsidRPr="00CD009C">
              <w:rPr>
                <w:rFonts w:ascii="Calibri" w:hAnsi="Calibri" w:cs="Calibri"/>
                <w:bCs/>
                <w:sz w:val="22"/>
                <w:szCs w:val="22"/>
              </w:rPr>
              <w:t xml:space="preserve">To </w:t>
            </w:r>
            <w:r w:rsidR="00214DDC" w:rsidRPr="00CD009C">
              <w:rPr>
                <w:rFonts w:ascii="Calibri" w:hAnsi="Calibri" w:cs="Calibri"/>
                <w:bCs/>
                <w:sz w:val="22"/>
                <w:szCs w:val="22"/>
              </w:rPr>
              <w:t>co</w:t>
            </w:r>
            <w:r w:rsidR="00214DDC" w:rsidRPr="00E37349">
              <w:rPr>
                <w:rFonts w:ascii="Calibri" w:hAnsi="Calibri" w:cs="Calibri"/>
                <w:bCs/>
                <w:sz w:val="22"/>
                <w:szCs w:val="22"/>
              </w:rPr>
              <w:t xml:space="preserve">llaboratively </w:t>
            </w:r>
            <w:r w:rsidRPr="00E37349">
              <w:rPr>
                <w:rFonts w:ascii="Calibri" w:hAnsi="Calibri" w:cs="Calibri"/>
                <w:bCs/>
                <w:sz w:val="22"/>
                <w:szCs w:val="22"/>
              </w:rPr>
              <w:t>identify</w:t>
            </w:r>
            <w:r w:rsidR="006D4A5A">
              <w:rPr>
                <w:rFonts w:ascii="Calibri" w:hAnsi="Calibri" w:cs="Calibri"/>
                <w:bCs/>
                <w:sz w:val="22"/>
                <w:szCs w:val="22"/>
              </w:rPr>
              <w:t>, define</w:t>
            </w:r>
            <w:r w:rsidRPr="00E37349">
              <w:rPr>
                <w:rFonts w:ascii="Calibri" w:hAnsi="Calibri" w:cs="Calibri"/>
                <w:bCs/>
                <w:sz w:val="22"/>
                <w:szCs w:val="22"/>
              </w:rPr>
              <w:t xml:space="preserve"> and document </w:t>
            </w:r>
            <w:r w:rsidR="00F842A8">
              <w:rPr>
                <w:rFonts w:ascii="Calibri" w:hAnsi="Calibri" w:cs="Calibri"/>
                <w:bCs/>
                <w:sz w:val="22"/>
                <w:szCs w:val="22"/>
              </w:rPr>
              <w:t xml:space="preserve">a </w:t>
            </w:r>
            <w:r w:rsidRPr="00E37349">
              <w:rPr>
                <w:rFonts w:ascii="Calibri" w:hAnsi="Calibri" w:cs="Calibri"/>
                <w:bCs/>
                <w:sz w:val="22"/>
                <w:szCs w:val="22"/>
              </w:rPr>
              <w:t xml:space="preserve">standardized </w:t>
            </w:r>
            <w:r w:rsidR="00F842A8">
              <w:rPr>
                <w:rFonts w:ascii="Calibri" w:hAnsi="Calibri" w:cs="Calibri"/>
                <w:bCs/>
                <w:sz w:val="22"/>
                <w:szCs w:val="22"/>
              </w:rPr>
              <w:t>use case</w:t>
            </w:r>
            <w:r w:rsidRPr="00E37349">
              <w:rPr>
                <w:rFonts w:ascii="Calibri" w:hAnsi="Calibri" w:cs="Calibri"/>
                <w:bCs/>
                <w:sz w:val="22"/>
                <w:szCs w:val="22"/>
              </w:rPr>
              <w:t xml:space="preserve"> for bi-directional </w:t>
            </w:r>
            <w:r w:rsidR="00F842A8">
              <w:rPr>
                <w:rFonts w:ascii="Calibri" w:hAnsi="Calibri" w:cs="Calibri"/>
                <w:bCs/>
                <w:sz w:val="22"/>
                <w:szCs w:val="22"/>
              </w:rPr>
              <w:t xml:space="preserve">query </w:t>
            </w:r>
            <w:r w:rsidRPr="00E37349">
              <w:rPr>
                <w:rFonts w:ascii="Calibri" w:hAnsi="Calibri" w:cs="Calibri"/>
                <w:bCs/>
                <w:sz w:val="22"/>
                <w:szCs w:val="22"/>
              </w:rPr>
              <w:t xml:space="preserve">immunization information exchange </w:t>
            </w:r>
          </w:p>
          <w:p w:rsidR="002F3267" w:rsidRPr="00CD009C" w:rsidRDefault="00CD009C" w:rsidP="00CD009C">
            <w:pPr>
              <w:pStyle w:val="ListParagraph"/>
              <w:numPr>
                <w:ilvl w:val="0"/>
                <w:numId w:val="12"/>
              </w:numPr>
              <w:spacing w:before="60" w:after="120"/>
              <w:rPr>
                <w:rFonts w:ascii="Calibri" w:hAnsi="Calibri" w:cs="Calibri"/>
                <w:color w:val="054BA5"/>
                <w:sz w:val="22"/>
                <w:szCs w:val="22"/>
              </w:rPr>
            </w:pPr>
            <w:r w:rsidRPr="00E37349">
              <w:rPr>
                <w:rFonts w:ascii="Calibri" w:hAnsi="Calibri" w:cs="Calibri"/>
                <w:bCs/>
                <w:sz w:val="22"/>
                <w:szCs w:val="22"/>
              </w:rPr>
              <w:t xml:space="preserve">To inform </w:t>
            </w:r>
            <w:r w:rsidR="00955316">
              <w:rPr>
                <w:rFonts w:ascii="Calibri" w:hAnsi="Calibri" w:cs="Calibri"/>
                <w:bCs/>
                <w:sz w:val="22"/>
                <w:szCs w:val="22"/>
              </w:rPr>
              <w:t xml:space="preserve">development of </w:t>
            </w:r>
            <w:r w:rsidR="00A101F8">
              <w:rPr>
                <w:rFonts w:ascii="Calibri" w:hAnsi="Calibri" w:cs="Calibri"/>
                <w:bCs/>
                <w:sz w:val="22"/>
                <w:szCs w:val="22"/>
              </w:rPr>
              <w:t xml:space="preserve">proposed </w:t>
            </w:r>
            <w:r w:rsidRPr="00E37349">
              <w:rPr>
                <w:rFonts w:ascii="Calibri" w:hAnsi="Calibri" w:cs="Calibri"/>
                <w:bCs/>
                <w:sz w:val="22"/>
                <w:szCs w:val="22"/>
              </w:rPr>
              <w:t xml:space="preserve">regulations for </w:t>
            </w:r>
            <w:r w:rsidR="002F3267" w:rsidRPr="00E37349">
              <w:rPr>
                <w:rFonts w:ascii="Calibri" w:hAnsi="Calibri" w:cs="Calibri"/>
                <w:bCs/>
                <w:sz w:val="22"/>
                <w:szCs w:val="22"/>
              </w:rPr>
              <w:t xml:space="preserve">stage 3 </w:t>
            </w:r>
            <w:r w:rsidRPr="00E37349">
              <w:rPr>
                <w:rFonts w:ascii="Calibri" w:hAnsi="Calibri" w:cs="Calibri"/>
                <w:bCs/>
                <w:sz w:val="22"/>
                <w:szCs w:val="22"/>
              </w:rPr>
              <w:t xml:space="preserve">of the </w:t>
            </w:r>
            <w:r w:rsidR="002F3267" w:rsidRPr="00E37349">
              <w:rPr>
                <w:rFonts w:ascii="Calibri" w:hAnsi="Calibri" w:cs="Calibri"/>
                <w:bCs/>
                <w:sz w:val="22"/>
                <w:szCs w:val="22"/>
              </w:rPr>
              <w:t>EHR Incentive Program</w:t>
            </w:r>
            <w:r w:rsidR="00955316">
              <w:rPr>
                <w:rFonts w:ascii="Calibri" w:hAnsi="Calibri" w:cs="Calibri"/>
                <w:bCs/>
                <w:sz w:val="22"/>
                <w:szCs w:val="22"/>
              </w:rPr>
              <w:t>s</w:t>
            </w:r>
            <w:r w:rsidR="002F3267" w:rsidRPr="00E37349">
              <w:rPr>
                <w:rFonts w:ascii="Calibri" w:hAnsi="Calibri" w:cs="Calibri"/>
                <w:bCs/>
                <w:sz w:val="22"/>
                <w:szCs w:val="22"/>
              </w:rPr>
              <w:t xml:space="preserve"> (“Meaningful Use “)</w:t>
            </w:r>
            <w:r w:rsidRPr="00E37349">
              <w:rPr>
                <w:rFonts w:ascii="Calibri" w:hAnsi="Calibri" w:cs="Calibri"/>
                <w:bCs/>
                <w:sz w:val="22"/>
                <w:szCs w:val="22"/>
              </w:rPr>
              <w:t xml:space="preserve"> and for the 2015 Edition of EHR certification</w:t>
            </w:r>
            <w:r w:rsidR="002F3267" w:rsidRPr="00E37349">
              <w:rPr>
                <w:rFonts w:ascii="Calibri" w:hAnsi="Calibri" w:cs="Calibri"/>
                <w:bCs/>
                <w:sz w:val="22"/>
                <w:szCs w:val="22"/>
              </w:rPr>
              <w:t>.</w:t>
            </w:r>
          </w:p>
        </w:tc>
      </w:tr>
      <w:tr w:rsidR="00DE572E" w:rsidRPr="00D078E8">
        <w:tblPrEx>
          <w:tblBorders>
            <w:insideV w:val="none" w:sz="0" w:space="0" w:color="auto"/>
          </w:tblBorders>
        </w:tblPrEx>
        <w:trPr>
          <w:trHeight w:val="444"/>
        </w:trPr>
        <w:tc>
          <w:tcPr>
            <w:tcW w:w="9630" w:type="dxa"/>
            <w:gridSpan w:val="3"/>
            <w:tcBorders>
              <w:bottom w:val="nil"/>
            </w:tcBorders>
          </w:tcPr>
          <w:p w:rsidR="00DE572E" w:rsidRPr="008946A5" w:rsidRDefault="00DE572E" w:rsidP="00AA641B">
            <w:pPr>
              <w:spacing w:before="60" w:after="120"/>
              <w:rPr>
                <w:rFonts w:ascii="Calibri" w:hAnsi="Calibri" w:cs="Calibri"/>
                <w:b/>
                <w:bCs/>
                <w:color w:val="054BA5"/>
                <w:sz w:val="22"/>
                <w:szCs w:val="22"/>
              </w:rPr>
            </w:pPr>
            <w:r w:rsidRPr="008946A5">
              <w:rPr>
                <w:rFonts w:ascii="Calibri" w:hAnsi="Calibri" w:cs="Calibri"/>
                <w:b/>
                <w:bCs/>
                <w:color w:val="054BA5"/>
                <w:sz w:val="22"/>
                <w:szCs w:val="22"/>
              </w:rPr>
              <w:t xml:space="preserve">High </w:t>
            </w:r>
            <w:r w:rsidR="00AA641B">
              <w:rPr>
                <w:rFonts w:ascii="Calibri" w:hAnsi="Calibri" w:cs="Calibri"/>
                <w:b/>
                <w:bCs/>
                <w:color w:val="054BA5"/>
                <w:sz w:val="22"/>
                <w:szCs w:val="22"/>
              </w:rPr>
              <w:t>L</w:t>
            </w:r>
            <w:r w:rsidR="007801B3" w:rsidRPr="008946A5">
              <w:rPr>
                <w:rFonts w:ascii="Calibri" w:hAnsi="Calibri" w:cs="Calibri"/>
                <w:b/>
                <w:bCs/>
                <w:color w:val="054BA5"/>
                <w:sz w:val="22"/>
                <w:szCs w:val="22"/>
              </w:rPr>
              <w:t xml:space="preserve">evel </w:t>
            </w:r>
            <w:r w:rsidR="00AA641B">
              <w:rPr>
                <w:rFonts w:ascii="Calibri" w:hAnsi="Calibri" w:cs="Calibri"/>
                <w:b/>
                <w:bCs/>
                <w:color w:val="054BA5"/>
                <w:sz w:val="22"/>
                <w:szCs w:val="22"/>
              </w:rPr>
              <w:t>Methodology</w:t>
            </w:r>
            <w:r w:rsidR="00955316">
              <w:rPr>
                <w:rFonts w:ascii="Calibri" w:hAnsi="Calibri" w:cs="Calibri"/>
                <w:b/>
                <w:bCs/>
                <w:color w:val="054BA5"/>
                <w:sz w:val="22"/>
                <w:szCs w:val="22"/>
              </w:rPr>
              <w:t xml:space="preserve">  </w:t>
            </w:r>
          </w:p>
        </w:tc>
      </w:tr>
      <w:tr w:rsidR="009C3DCF" w:rsidRPr="00D078E8">
        <w:tblPrEx>
          <w:tblBorders>
            <w:insideV w:val="none" w:sz="0" w:space="0" w:color="auto"/>
          </w:tblBorders>
        </w:tblPrEx>
        <w:trPr>
          <w:trHeight w:val="660"/>
        </w:trPr>
        <w:tc>
          <w:tcPr>
            <w:tcW w:w="9630" w:type="dxa"/>
            <w:gridSpan w:val="3"/>
            <w:tcBorders>
              <w:top w:val="nil"/>
            </w:tcBorders>
          </w:tcPr>
          <w:p w:rsidR="00AA512C" w:rsidRDefault="007801B3" w:rsidP="007801B3">
            <w:pPr>
              <w:pStyle w:val="ListParagraph"/>
              <w:numPr>
                <w:ilvl w:val="0"/>
                <w:numId w:val="13"/>
              </w:numPr>
              <w:spacing w:after="120"/>
              <w:rPr>
                <w:rFonts w:ascii="Calibri" w:hAnsi="Calibri" w:cs="Calibri"/>
                <w:sz w:val="22"/>
                <w:szCs w:val="22"/>
              </w:rPr>
            </w:pPr>
            <w:r>
              <w:rPr>
                <w:rFonts w:ascii="Calibri" w:hAnsi="Calibri" w:cs="Calibri"/>
                <w:sz w:val="22"/>
                <w:szCs w:val="22"/>
              </w:rPr>
              <w:t xml:space="preserve">Convene IIS and EHR vendor community representatives to reach consensus on </w:t>
            </w:r>
            <w:r w:rsidR="00F842A8">
              <w:rPr>
                <w:rFonts w:ascii="Calibri" w:hAnsi="Calibri" w:cs="Calibri"/>
                <w:sz w:val="22"/>
                <w:szCs w:val="22"/>
              </w:rPr>
              <w:t xml:space="preserve">a single, </w:t>
            </w:r>
            <w:r>
              <w:rPr>
                <w:rFonts w:ascii="Calibri" w:hAnsi="Calibri" w:cs="Calibri"/>
                <w:sz w:val="22"/>
                <w:szCs w:val="22"/>
              </w:rPr>
              <w:t xml:space="preserve">optimal </w:t>
            </w:r>
            <w:r w:rsidR="00F842A8">
              <w:rPr>
                <w:rFonts w:ascii="Calibri" w:hAnsi="Calibri" w:cs="Calibri"/>
                <w:sz w:val="22"/>
                <w:szCs w:val="22"/>
              </w:rPr>
              <w:t>use case for</w:t>
            </w:r>
            <w:r>
              <w:rPr>
                <w:rFonts w:ascii="Calibri" w:hAnsi="Calibri" w:cs="Calibri"/>
                <w:sz w:val="22"/>
                <w:szCs w:val="22"/>
              </w:rPr>
              <w:t xml:space="preserve"> bi-</w:t>
            </w:r>
            <w:r w:rsidR="00113AF2">
              <w:rPr>
                <w:rFonts w:ascii="Calibri" w:hAnsi="Calibri" w:cs="Calibri"/>
                <w:sz w:val="22"/>
                <w:szCs w:val="22"/>
              </w:rPr>
              <w:t>directional</w:t>
            </w:r>
            <w:r w:rsidR="00F842A8">
              <w:rPr>
                <w:rFonts w:ascii="Calibri" w:hAnsi="Calibri" w:cs="Calibri"/>
                <w:sz w:val="22"/>
                <w:szCs w:val="22"/>
              </w:rPr>
              <w:t xml:space="preserve"> query </w:t>
            </w:r>
            <w:r>
              <w:rPr>
                <w:rFonts w:ascii="Calibri" w:hAnsi="Calibri" w:cs="Calibri"/>
                <w:sz w:val="22"/>
                <w:szCs w:val="22"/>
              </w:rPr>
              <w:t xml:space="preserve">exchange </w:t>
            </w:r>
            <w:r w:rsidR="0098695C">
              <w:rPr>
                <w:rFonts w:ascii="Calibri" w:hAnsi="Calibri" w:cs="Calibri"/>
                <w:sz w:val="22"/>
                <w:szCs w:val="22"/>
              </w:rPr>
              <w:t>(</w:t>
            </w:r>
            <w:r>
              <w:rPr>
                <w:rFonts w:ascii="Calibri" w:hAnsi="Calibri" w:cs="Calibri"/>
                <w:sz w:val="22"/>
                <w:szCs w:val="22"/>
              </w:rPr>
              <w:t>as defined by</w:t>
            </w:r>
            <w:r w:rsidR="0098695C">
              <w:rPr>
                <w:rFonts w:ascii="Calibri" w:hAnsi="Calibri" w:cs="Calibri"/>
                <w:sz w:val="22"/>
                <w:szCs w:val="22"/>
              </w:rPr>
              <w:t xml:space="preserve"> the work group)</w:t>
            </w:r>
            <w:r>
              <w:rPr>
                <w:rFonts w:ascii="Calibri" w:hAnsi="Calibri" w:cs="Calibri"/>
                <w:sz w:val="22"/>
                <w:szCs w:val="22"/>
              </w:rPr>
              <w:t xml:space="preserve">. </w:t>
            </w:r>
          </w:p>
          <w:p w:rsidR="007801B3" w:rsidRDefault="00113AF2" w:rsidP="00113AF2">
            <w:pPr>
              <w:pStyle w:val="ListParagraph"/>
              <w:numPr>
                <w:ilvl w:val="0"/>
                <w:numId w:val="13"/>
              </w:numPr>
              <w:spacing w:after="120"/>
              <w:rPr>
                <w:rFonts w:ascii="Calibri" w:hAnsi="Calibri" w:cs="Calibri"/>
                <w:sz w:val="22"/>
                <w:szCs w:val="22"/>
              </w:rPr>
            </w:pPr>
            <w:r>
              <w:rPr>
                <w:rFonts w:ascii="Calibri" w:hAnsi="Calibri" w:cs="Calibri"/>
                <w:sz w:val="22"/>
                <w:szCs w:val="22"/>
              </w:rPr>
              <w:t xml:space="preserve">Document </w:t>
            </w:r>
            <w:r w:rsidR="00955316">
              <w:rPr>
                <w:rFonts w:ascii="Calibri" w:hAnsi="Calibri" w:cs="Calibri"/>
                <w:sz w:val="22"/>
                <w:szCs w:val="22"/>
              </w:rPr>
              <w:t xml:space="preserve">a </w:t>
            </w:r>
            <w:r>
              <w:rPr>
                <w:rFonts w:ascii="Calibri" w:hAnsi="Calibri" w:cs="Calibri"/>
                <w:sz w:val="22"/>
                <w:szCs w:val="22"/>
              </w:rPr>
              <w:t>consensus approach in sufficient detail that the documentation can guide IIS and EHR system vendors in implementing the approach.</w:t>
            </w:r>
          </w:p>
          <w:p w:rsidR="00113AF2" w:rsidRPr="00AA512C" w:rsidRDefault="00113AF2" w:rsidP="00A20D31">
            <w:pPr>
              <w:pStyle w:val="ListParagraph"/>
              <w:numPr>
                <w:ilvl w:val="0"/>
                <w:numId w:val="13"/>
              </w:numPr>
              <w:spacing w:after="120"/>
              <w:rPr>
                <w:rFonts w:ascii="Calibri" w:hAnsi="Calibri" w:cs="Calibri"/>
                <w:sz w:val="22"/>
                <w:szCs w:val="22"/>
              </w:rPr>
            </w:pPr>
            <w:r>
              <w:rPr>
                <w:rFonts w:ascii="Calibri" w:hAnsi="Calibri" w:cs="Calibri"/>
                <w:sz w:val="22"/>
                <w:szCs w:val="22"/>
              </w:rPr>
              <w:t xml:space="preserve">Ensure documentation is vetted and finalized in time for CMS and ONC to consider for the stage 3 Notice of Proposed Rulemaking (NPRM), likely to be released in </w:t>
            </w:r>
            <w:r w:rsidR="00A20D31">
              <w:rPr>
                <w:rFonts w:ascii="Calibri" w:hAnsi="Calibri" w:cs="Calibri"/>
                <w:sz w:val="22"/>
                <w:szCs w:val="22"/>
              </w:rPr>
              <w:t>late summer or early fall</w:t>
            </w:r>
            <w:r>
              <w:rPr>
                <w:rFonts w:ascii="Calibri" w:hAnsi="Calibri" w:cs="Calibri"/>
                <w:sz w:val="22"/>
                <w:szCs w:val="22"/>
              </w:rPr>
              <w:t xml:space="preserve"> 2013. </w:t>
            </w:r>
          </w:p>
        </w:tc>
      </w:tr>
      <w:tr w:rsidR="00DE572E" w:rsidRPr="00D078E8">
        <w:tblPrEx>
          <w:tblBorders>
            <w:insideV w:val="none" w:sz="0" w:space="0" w:color="auto"/>
          </w:tblBorders>
        </w:tblPrEx>
        <w:trPr>
          <w:trHeight w:val="456"/>
        </w:trPr>
        <w:tc>
          <w:tcPr>
            <w:tcW w:w="9630" w:type="dxa"/>
            <w:gridSpan w:val="3"/>
            <w:tcBorders>
              <w:bottom w:val="nil"/>
            </w:tcBorders>
          </w:tcPr>
          <w:p w:rsidR="00DE572E" w:rsidRPr="008946A5" w:rsidRDefault="00DE572E" w:rsidP="007D2787">
            <w:pPr>
              <w:spacing w:before="60" w:after="120"/>
              <w:rPr>
                <w:rFonts w:ascii="Calibri" w:hAnsi="Calibri" w:cs="Calibri"/>
                <w:b/>
                <w:bCs/>
                <w:color w:val="054BA5"/>
                <w:sz w:val="22"/>
                <w:szCs w:val="22"/>
              </w:rPr>
            </w:pPr>
            <w:r w:rsidRPr="008946A5">
              <w:rPr>
                <w:rFonts w:ascii="Calibri" w:hAnsi="Calibri" w:cs="Calibri"/>
                <w:b/>
                <w:bCs/>
                <w:color w:val="054BA5"/>
                <w:sz w:val="22"/>
                <w:szCs w:val="22"/>
              </w:rPr>
              <w:t>High Level Project Description</w:t>
            </w:r>
          </w:p>
        </w:tc>
      </w:tr>
      <w:tr w:rsidR="009C3DCF" w:rsidRPr="00D078E8">
        <w:tblPrEx>
          <w:tblBorders>
            <w:insideV w:val="none" w:sz="0" w:space="0" w:color="auto"/>
          </w:tblBorders>
        </w:tblPrEx>
        <w:trPr>
          <w:trHeight w:val="1188"/>
        </w:trPr>
        <w:tc>
          <w:tcPr>
            <w:tcW w:w="9630" w:type="dxa"/>
            <w:gridSpan w:val="3"/>
            <w:tcBorders>
              <w:top w:val="nil"/>
            </w:tcBorders>
          </w:tcPr>
          <w:p w:rsidR="00DD1953" w:rsidRDefault="00490504" w:rsidP="00DD1953">
            <w:pPr>
              <w:spacing w:after="120"/>
              <w:rPr>
                <w:rFonts w:ascii="Calibri" w:hAnsi="Calibri" w:cs="Calibri"/>
                <w:sz w:val="22"/>
                <w:szCs w:val="22"/>
              </w:rPr>
            </w:pPr>
            <w:r>
              <w:rPr>
                <w:rFonts w:ascii="Calibri" w:hAnsi="Calibri" w:cs="Calibri"/>
                <w:sz w:val="22"/>
                <w:szCs w:val="22"/>
              </w:rPr>
              <w:t>The stage 3 Meaningful Use regulations are expected to include bi-directional, real time exchange between IIS and EHR systems. Rather than every IIS program develop</w:t>
            </w:r>
            <w:r w:rsidR="00E37349">
              <w:rPr>
                <w:rFonts w:ascii="Calibri" w:hAnsi="Calibri" w:cs="Calibri"/>
                <w:sz w:val="22"/>
                <w:szCs w:val="22"/>
              </w:rPr>
              <w:t>ing</w:t>
            </w:r>
            <w:r>
              <w:rPr>
                <w:rFonts w:ascii="Calibri" w:hAnsi="Calibri" w:cs="Calibri"/>
                <w:sz w:val="22"/>
                <w:szCs w:val="22"/>
              </w:rPr>
              <w:t xml:space="preserve"> its own approach to such exchange, </w:t>
            </w:r>
            <w:r w:rsidR="00D26276">
              <w:rPr>
                <w:rFonts w:ascii="Calibri" w:hAnsi="Calibri" w:cs="Calibri"/>
                <w:sz w:val="22"/>
                <w:szCs w:val="22"/>
              </w:rPr>
              <w:t>the IIS and EHR</w:t>
            </w:r>
            <w:r w:rsidR="00E37349">
              <w:rPr>
                <w:rFonts w:ascii="Calibri" w:hAnsi="Calibri" w:cs="Calibri"/>
                <w:sz w:val="22"/>
                <w:szCs w:val="22"/>
              </w:rPr>
              <w:t xml:space="preserve"> vendor communities w</w:t>
            </w:r>
            <w:r w:rsidR="00D26276">
              <w:rPr>
                <w:rFonts w:ascii="Calibri" w:hAnsi="Calibri" w:cs="Calibri"/>
                <w:sz w:val="22"/>
                <w:szCs w:val="22"/>
              </w:rPr>
              <w:t xml:space="preserve">ould </w:t>
            </w:r>
            <w:r w:rsidR="00E37349">
              <w:rPr>
                <w:rFonts w:ascii="Calibri" w:hAnsi="Calibri" w:cs="Calibri"/>
                <w:sz w:val="22"/>
                <w:szCs w:val="22"/>
              </w:rPr>
              <w:t xml:space="preserve">ideally </w:t>
            </w:r>
            <w:r w:rsidR="00D26276">
              <w:rPr>
                <w:rFonts w:ascii="Calibri" w:hAnsi="Calibri" w:cs="Calibri"/>
                <w:sz w:val="22"/>
                <w:szCs w:val="22"/>
              </w:rPr>
              <w:t xml:space="preserve">work collaboratively to identify 1-2 consensus approaches which </w:t>
            </w:r>
            <w:r w:rsidR="00E37349">
              <w:rPr>
                <w:rFonts w:ascii="Calibri" w:hAnsi="Calibri" w:cs="Calibri"/>
                <w:sz w:val="22"/>
                <w:szCs w:val="22"/>
              </w:rPr>
              <w:t xml:space="preserve">would </w:t>
            </w:r>
            <w:r w:rsidR="00D26276">
              <w:rPr>
                <w:rFonts w:ascii="Calibri" w:hAnsi="Calibri" w:cs="Calibri"/>
                <w:sz w:val="22"/>
                <w:szCs w:val="22"/>
              </w:rPr>
              <w:t xml:space="preserve">be documented sufficiently well to be </w:t>
            </w:r>
            <w:r w:rsidR="00E37349">
              <w:rPr>
                <w:rFonts w:ascii="Calibri" w:hAnsi="Calibri" w:cs="Calibri"/>
                <w:sz w:val="22"/>
                <w:szCs w:val="22"/>
              </w:rPr>
              <w:t xml:space="preserve">formally </w:t>
            </w:r>
            <w:r w:rsidR="00D26276">
              <w:rPr>
                <w:rFonts w:ascii="Calibri" w:hAnsi="Calibri" w:cs="Calibri"/>
                <w:sz w:val="22"/>
                <w:szCs w:val="22"/>
              </w:rPr>
              <w:t>referenced</w:t>
            </w:r>
            <w:r w:rsidR="00E37349" w:rsidRPr="00E37349">
              <w:rPr>
                <w:rFonts w:ascii="Calibri" w:hAnsi="Calibri" w:cs="Calibri"/>
                <w:i/>
                <w:sz w:val="22"/>
                <w:szCs w:val="22"/>
              </w:rPr>
              <w:t xml:space="preserve"> </w:t>
            </w:r>
            <w:r w:rsidR="00D26276">
              <w:rPr>
                <w:rFonts w:ascii="Calibri" w:hAnsi="Calibri" w:cs="Calibri"/>
                <w:sz w:val="22"/>
                <w:szCs w:val="22"/>
              </w:rPr>
              <w:t>in the stage 3 N</w:t>
            </w:r>
            <w:r w:rsidR="00113AF2">
              <w:rPr>
                <w:rFonts w:ascii="Calibri" w:hAnsi="Calibri" w:cs="Calibri"/>
                <w:sz w:val="22"/>
                <w:szCs w:val="22"/>
              </w:rPr>
              <w:t>PRM</w:t>
            </w:r>
            <w:r w:rsidR="00D26276">
              <w:rPr>
                <w:rFonts w:ascii="Calibri" w:hAnsi="Calibri" w:cs="Calibri"/>
                <w:sz w:val="22"/>
                <w:szCs w:val="22"/>
              </w:rPr>
              <w:t xml:space="preserve">. </w:t>
            </w:r>
            <w:r w:rsidR="00113AF2">
              <w:rPr>
                <w:rFonts w:ascii="Calibri" w:hAnsi="Calibri" w:cs="Calibri"/>
                <w:sz w:val="22"/>
                <w:szCs w:val="22"/>
              </w:rPr>
              <w:t xml:space="preserve">This may include </w:t>
            </w:r>
            <w:r w:rsidR="00A20D31">
              <w:rPr>
                <w:rFonts w:ascii="Calibri" w:hAnsi="Calibri" w:cs="Calibri"/>
                <w:sz w:val="22"/>
                <w:szCs w:val="22"/>
              </w:rPr>
              <w:t xml:space="preserve">making recommendations to refine </w:t>
            </w:r>
            <w:r w:rsidR="00113AF2">
              <w:rPr>
                <w:rFonts w:ascii="Calibri" w:hAnsi="Calibri" w:cs="Calibri"/>
                <w:sz w:val="22"/>
                <w:szCs w:val="22"/>
              </w:rPr>
              <w:t xml:space="preserve">the HL7 </w:t>
            </w:r>
            <w:r w:rsidR="00A20D31">
              <w:rPr>
                <w:rFonts w:ascii="Calibri" w:hAnsi="Calibri" w:cs="Calibri"/>
                <w:sz w:val="22"/>
                <w:szCs w:val="22"/>
              </w:rPr>
              <w:t xml:space="preserve">v2.5.1 </w:t>
            </w:r>
            <w:r w:rsidR="00113AF2">
              <w:rPr>
                <w:rFonts w:ascii="Calibri" w:hAnsi="Calibri" w:cs="Calibri"/>
                <w:sz w:val="22"/>
                <w:szCs w:val="22"/>
              </w:rPr>
              <w:t>Implementation Guide.</w:t>
            </w:r>
            <w:r w:rsidR="00F842A8">
              <w:rPr>
                <w:rFonts w:ascii="Calibri" w:hAnsi="Calibri" w:cs="Calibri"/>
                <w:sz w:val="22"/>
                <w:szCs w:val="22"/>
              </w:rPr>
              <w:t xml:space="preserve"> If time allows, the workgroup may also identify the uses and limitations of the CDA standard for bi-directional query exchange. </w:t>
            </w:r>
            <w:r w:rsidR="00AA641B">
              <w:rPr>
                <w:rFonts w:ascii="Calibri" w:hAnsi="Calibri" w:cs="Calibri"/>
                <w:sz w:val="22"/>
                <w:szCs w:val="22"/>
              </w:rPr>
              <w:t xml:space="preserve"> </w:t>
            </w:r>
          </w:p>
        </w:tc>
      </w:tr>
      <w:tr w:rsidR="0051484F" w:rsidRPr="00D078E8" w:rsidTr="00AA641B">
        <w:tblPrEx>
          <w:tblBorders>
            <w:insideV w:val="none" w:sz="0" w:space="0" w:color="auto"/>
          </w:tblBorders>
        </w:tblPrEx>
        <w:trPr>
          <w:trHeight w:val="53"/>
        </w:trPr>
        <w:tc>
          <w:tcPr>
            <w:tcW w:w="9630" w:type="dxa"/>
            <w:gridSpan w:val="3"/>
          </w:tcPr>
          <w:p w:rsidR="0051484F" w:rsidRPr="008946A5" w:rsidRDefault="0051484F" w:rsidP="007D2787">
            <w:pPr>
              <w:spacing w:before="60" w:after="120"/>
              <w:rPr>
                <w:rFonts w:ascii="Calibri" w:hAnsi="Calibri" w:cs="Calibri"/>
                <w:b/>
                <w:bCs/>
                <w:color w:val="054BA5"/>
                <w:sz w:val="22"/>
                <w:szCs w:val="22"/>
              </w:rPr>
            </w:pPr>
            <w:r w:rsidRPr="008946A5">
              <w:rPr>
                <w:rFonts w:ascii="Calibri" w:hAnsi="Calibri" w:cs="Calibri"/>
                <w:b/>
                <w:bCs/>
                <w:color w:val="054BA5"/>
                <w:sz w:val="22"/>
                <w:szCs w:val="22"/>
              </w:rPr>
              <w:t>Project Objectives</w:t>
            </w:r>
            <w:r w:rsidR="00E37349">
              <w:rPr>
                <w:rFonts w:ascii="Calibri" w:hAnsi="Calibri" w:cs="Calibri"/>
                <w:b/>
                <w:bCs/>
                <w:color w:val="054BA5"/>
                <w:sz w:val="22"/>
                <w:szCs w:val="22"/>
              </w:rPr>
              <w:t xml:space="preserve"> and Time Lines</w:t>
            </w:r>
          </w:p>
          <w:p w:rsidR="00A20D31" w:rsidRDefault="00E37349" w:rsidP="00A20D31">
            <w:pPr>
              <w:pStyle w:val="ListParagraph"/>
              <w:numPr>
                <w:ilvl w:val="0"/>
                <w:numId w:val="14"/>
              </w:numPr>
              <w:spacing w:after="120"/>
              <w:rPr>
                <w:rFonts w:ascii="Calibri" w:hAnsi="Calibri" w:cs="Calibri"/>
                <w:sz w:val="22"/>
                <w:szCs w:val="22"/>
              </w:rPr>
            </w:pPr>
            <w:r>
              <w:rPr>
                <w:rFonts w:ascii="Calibri" w:hAnsi="Calibri" w:cs="Calibri"/>
                <w:sz w:val="22"/>
                <w:szCs w:val="22"/>
              </w:rPr>
              <w:t>Charter the project with AIRA and IISSB (Nov 2012).</w:t>
            </w:r>
          </w:p>
          <w:p w:rsidR="00E37349" w:rsidRPr="00A20D31" w:rsidRDefault="00A20D31" w:rsidP="00E37349">
            <w:pPr>
              <w:pStyle w:val="ListParagraph"/>
              <w:numPr>
                <w:ilvl w:val="0"/>
                <w:numId w:val="14"/>
              </w:numPr>
              <w:spacing w:after="120"/>
              <w:rPr>
                <w:rFonts w:ascii="Calibri" w:hAnsi="Calibri" w:cs="Calibri"/>
                <w:sz w:val="22"/>
                <w:szCs w:val="22"/>
              </w:rPr>
            </w:pPr>
            <w:r w:rsidRPr="00A20D31">
              <w:rPr>
                <w:rFonts w:ascii="Calibri" w:hAnsi="Calibri" w:cs="Calibri"/>
                <w:sz w:val="22"/>
                <w:szCs w:val="22"/>
              </w:rPr>
              <w:t xml:space="preserve">Conduct a </w:t>
            </w:r>
            <w:r w:rsidRPr="00A20D31">
              <w:rPr>
                <w:rFonts w:ascii="Calibri" w:hAnsi="Calibri" w:cs="Calibri"/>
                <w:bCs/>
                <w:iCs/>
                <w:sz w:val="22"/>
                <w:szCs w:val="22"/>
              </w:rPr>
              <w:t xml:space="preserve">gap analysis between the current guidance on bi-directional exchange and actual practice. </w:t>
            </w:r>
            <w:r w:rsidR="00E37349" w:rsidRPr="00A20D31">
              <w:rPr>
                <w:rFonts w:ascii="Calibri" w:hAnsi="Calibri" w:cs="Calibri"/>
                <w:sz w:val="22"/>
                <w:szCs w:val="22"/>
              </w:rPr>
              <w:t xml:space="preserve"> (Jan 2013)</w:t>
            </w:r>
          </w:p>
          <w:p w:rsidR="00E37349" w:rsidRDefault="00E37349" w:rsidP="00E37349">
            <w:pPr>
              <w:pStyle w:val="ListParagraph"/>
              <w:numPr>
                <w:ilvl w:val="0"/>
                <w:numId w:val="14"/>
              </w:numPr>
              <w:spacing w:after="120"/>
              <w:rPr>
                <w:rFonts w:ascii="Calibri" w:hAnsi="Calibri" w:cs="Calibri"/>
                <w:sz w:val="22"/>
                <w:szCs w:val="22"/>
              </w:rPr>
            </w:pPr>
            <w:r>
              <w:rPr>
                <w:rFonts w:ascii="Calibri" w:hAnsi="Calibri" w:cs="Calibri"/>
                <w:sz w:val="22"/>
                <w:szCs w:val="22"/>
              </w:rPr>
              <w:t>Convene a workgroup of IIS managers and EHR vendors to review and narrow approaches to no more than two “endorsed” approaches (</w:t>
            </w:r>
            <w:r w:rsidR="00F842A8">
              <w:rPr>
                <w:rFonts w:ascii="Calibri" w:hAnsi="Calibri" w:cs="Calibri"/>
                <w:sz w:val="22"/>
                <w:szCs w:val="22"/>
              </w:rPr>
              <w:t>Feb</w:t>
            </w:r>
            <w:r>
              <w:rPr>
                <w:rFonts w:ascii="Calibri" w:hAnsi="Calibri" w:cs="Calibri"/>
                <w:sz w:val="22"/>
                <w:szCs w:val="22"/>
              </w:rPr>
              <w:t xml:space="preserve"> 2013).</w:t>
            </w:r>
          </w:p>
          <w:p w:rsidR="00E37349" w:rsidRDefault="00E37349" w:rsidP="00E37349">
            <w:pPr>
              <w:pStyle w:val="ListParagraph"/>
              <w:numPr>
                <w:ilvl w:val="0"/>
                <w:numId w:val="14"/>
              </w:numPr>
              <w:spacing w:after="120"/>
              <w:rPr>
                <w:rFonts w:ascii="Calibri" w:hAnsi="Calibri" w:cs="Calibri"/>
                <w:sz w:val="22"/>
                <w:szCs w:val="22"/>
              </w:rPr>
            </w:pPr>
            <w:r w:rsidRPr="00E37349">
              <w:rPr>
                <w:rFonts w:ascii="Calibri" w:hAnsi="Calibri" w:cs="Calibri"/>
                <w:sz w:val="22"/>
                <w:szCs w:val="22"/>
              </w:rPr>
              <w:t xml:space="preserve">Develop </w:t>
            </w:r>
            <w:r>
              <w:rPr>
                <w:rFonts w:ascii="Calibri" w:hAnsi="Calibri" w:cs="Calibri"/>
                <w:sz w:val="22"/>
                <w:szCs w:val="22"/>
              </w:rPr>
              <w:t xml:space="preserve">draft </w:t>
            </w:r>
            <w:r w:rsidRPr="00E37349">
              <w:rPr>
                <w:rFonts w:ascii="Calibri" w:hAnsi="Calibri" w:cs="Calibri"/>
                <w:sz w:val="22"/>
                <w:szCs w:val="22"/>
              </w:rPr>
              <w:t xml:space="preserve">requirements and specification guidance for IIS and EHR vendors, including identifying </w:t>
            </w:r>
            <w:r w:rsidR="00A20D31">
              <w:rPr>
                <w:rFonts w:ascii="Calibri" w:hAnsi="Calibri" w:cs="Calibri"/>
                <w:sz w:val="22"/>
                <w:szCs w:val="22"/>
              </w:rPr>
              <w:t xml:space="preserve">and recommending </w:t>
            </w:r>
            <w:r w:rsidRPr="00E37349">
              <w:rPr>
                <w:rFonts w:ascii="Calibri" w:hAnsi="Calibri" w:cs="Calibri"/>
                <w:sz w:val="22"/>
                <w:szCs w:val="22"/>
              </w:rPr>
              <w:t>any updates needed for the HL7 v2.5.1 implementation guide</w:t>
            </w:r>
            <w:r>
              <w:rPr>
                <w:rFonts w:ascii="Calibri" w:hAnsi="Calibri" w:cs="Calibri"/>
                <w:sz w:val="22"/>
                <w:szCs w:val="22"/>
              </w:rPr>
              <w:t xml:space="preserve"> (March 2013)</w:t>
            </w:r>
            <w:r w:rsidRPr="00E37349">
              <w:rPr>
                <w:rFonts w:ascii="Calibri" w:hAnsi="Calibri" w:cs="Calibri"/>
                <w:sz w:val="22"/>
                <w:szCs w:val="22"/>
              </w:rPr>
              <w:t xml:space="preserve">. </w:t>
            </w:r>
          </w:p>
          <w:p w:rsidR="00E37349" w:rsidRDefault="00E37349" w:rsidP="00E37349">
            <w:pPr>
              <w:pStyle w:val="ListParagraph"/>
              <w:numPr>
                <w:ilvl w:val="0"/>
                <w:numId w:val="14"/>
              </w:numPr>
              <w:spacing w:after="120"/>
              <w:rPr>
                <w:rFonts w:ascii="Calibri" w:hAnsi="Calibri" w:cs="Calibri"/>
                <w:sz w:val="22"/>
                <w:szCs w:val="22"/>
              </w:rPr>
            </w:pPr>
            <w:r>
              <w:rPr>
                <w:rFonts w:ascii="Calibri" w:hAnsi="Calibri" w:cs="Calibri"/>
                <w:sz w:val="22"/>
                <w:szCs w:val="22"/>
              </w:rPr>
              <w:t>Vet with the IIS and EHR communities, the ONC and CMS (through April 2013).</w:t>
            </w:r>
          </w:p>
          <w:p w:rsidR="00071070" w:rsidRPr="006D4A5A" w:rsidRDefault="00E37349" w:rsidP="00AA641B">
            <w:pPr>
              <w:pStyle w:val="ListParagraph"/>
              <w:numPr>
                <w:ilvl w:val="0"/>
                <w:numId w:val="14"/>
              </w:numPr>
              <w:spacing w:after="120"/>
              <w:rPr>
                <w:rFonts w:ascii="Calibri" w:hAnsi="Calibri" w:cs="Calibri"/>
                <w:sz w:val="22"/>
                <w:szCs w:val="22"/>
              </w:rPr>
            </w:pPr>
            <w:r>
              <w:rPr>
                <w:rFonts w:ascii="Calibri" w:hAnsi="Calibri" w:cs="Calibri"/>
                <w:sz w:val="22"/>
                <w:szCs w:val="22"/>
              </w:rPr>
              <w:t xml:space="preserve">Finalize documentation and disseminate (May 2013). </w:t>
            </w:r>
            <w:r w:rsidR="00560FDA" w:rsidRPr="00E37349">
              <w:rPr>
                <w:rFonts w:ascii="Calibri" w:hAnsi="Calibri" w:cs="Calibri"/>
                <w:bCs/>
                <w:sz w:val="22"/>
                <w:szCs w:val="22"/>
              </w:rPr>
              <w:t xml:space="preserve"> </w:t>
            </w:r>
          </w:p>
          <w:p w:rsidR="006D4A5A" w:rsidRPr="00AA641B" w:rsidRDefault="006D4A5A" w:rsidP="006D4A5A">
            <w:pPr>
              <w:pStyle w:val="ListParagraph"/>
              <w:spacing w:after="120"/>
              <w:rPr>
                <w:rFonts w:ascii="Calibri" w:hAnsi="Calibri" w:cs="Calibri"/>
                <w:sz w:val="22"/>
                <w:szCs w:val="22"/>
              </w:rPr>
            </w:pPr>
          </w:p>
        </w:tc>
      </w:tr>
    </w:tbl>
    <w:p w:rsidR="00441019" w:rsidRDefault="00441019">
      <w:pPr>
        <w:framePr w:hSpace="180" w:wrap="around" w:vAnchor="text" w:hAnchor="margin" w:xAlign="center" w:y="323"/>
      </w:pPr>
      <w:r>
        <w:lastRenderedPageBreak/>
        <w:br w:type="page"/>
      </w:r>
    </w:p>
    <w:tbl>
      <w:tblPr>
        <w:tblpPr w:leftFromText="180" w:rightFromText="180" w:vertAnchor="text" w:horzAnchor="margin" w:tblpXSpec="center" w:tblpY="323"/>
        <w:tblW w:w="9540" w:type="dxa"/>
        <w:tblLayout w:type="fixed"/>
        <w:tblLook w:val="0000"/>
      </w:tblPr>
      <w:tblGrid>
        <w:gridCol w:w="9540"/>
      </w:tblGrid>
      <w:tr w:rsidR="00560FDA" w:rsidRPr="008D0701" w:rsidTr="00E37349">
        <w:tc>
          <w:tcPr>
            <w:tcW w:w="9540" w:type="dxa"/>
            <w:tcBorders>
              <w:top w:val="single" w:sz="6" w:space="0" w:color="auto"/>
              <w:left w:val="single" w:sz="6" w:space="0" w:color="auto"/>
              <w:right w:val="single" w:sz="6" w:space="0" w:color="auto"/>
            </w:tcBorders>
          </w:tcPr>
          <w:p w:rsidR="00560FDA" w:rsidRPr="008946A5" w:rsidRDefault="00560FDA" w:rsidP="00891EA4">
            <w:pPr>
              <w:spacing w:before="60" w:after="0"/>
              <w:rPr>
                <w:rFonts w:ascii="Calibri" w:hAnsi="Calibri" w:cs="Calibri"/>
                <w:b/>
                <w:bCs/>
                <w:color w:val="054BA5"/>
                <w:sz w:val="22"/>
                <w:szCs w:val="22"/>
              </w:rPr>
            </w:pPr>
            <w:r w:rsidRPr="008946A5">
              <w:rPr>
                <w:rFonts w:ascii="Calibri" w:hAnsi="Calibri" w:cs="Calibri"/>
                <w:b/>
                <w:bCs/>
                <w:color w:val="054BA5"/>
                <w:sz w:val="22"/>
                <w:szCs w:val="22"/>
              </w:rPr>
              <w:t>Project Constraints</w:t>
            </w:r>
          </w:p>
        </w:tc>
      </w:tr>
      <w:tr w:rsidR="00560FDA" w:rsidRPr="008D0701" w:rsidTr="00E37349">
        <w:tc>
          <w:tcPr>
            <w:tcW w:w="9540" w:type="dxa"/>
            <w:tcBorders>
              <w:top w:val="nil"/>
              <w:left w:val="single" w:sz="6" w:space="0" w:color="auto"/>
              <w:bottom w:val="single" w:sz="6" w:space="0" w:color="auto"/>
              <w:right w:val="single" w:sz="6" w:space="0" w:color="auto"/>
            </w:tcBorders>
          </w:tcPr>
          <w:p w:rsidR="00560FDA" w:rsidRDefault="00891EA4" w:rsidP="00891EA4">
            <w:pPr>
              <w:pStyle w:val="ListParagraph"/>
              <w:numPr>
                <w:ilvl w:val="0"/>
                <w:numId w:val="17"/>
              </w:numPr>
              <w:spacing w:before="60" w:after="120"/>
              <w:rPr>
                <w:rFonts w:ascii="Calibri" w:hAnsi="Calibri" w:cs="Calibri"/>
                <w:sz w:val="22"/>
                <w:szCs w:val="22"/>
              </w:rPr>
            </w:pPr>
            <w:r>
              <w:rPr>
                <w:rFonts w:ascii="Calibri" w:hAnsi="Calibri" w:cs="Calibri"/>
                <w:sz w:val="22"/>
                <w:szCs w:val="22"/>
              </w:rPr>
              <w:t>There is a limited budget of $75,000.</w:t>
            </w:r>
          </w:p>
          <w:p w:rsidR="00891EA4" w:rsidRDefault="00891EA4" w:rsidP="00891EA4">
            <w:pPr>
              <w:pStyle w:val="ListParagraph"/>
              <w:numPr>
                <w:ilvl w:val="0"/>
                <w:numId w:val="17"/>
              </w:numPr>
              <w:spacing w:before="60" w:after="120"/>
              <w:rPr>
                <w:rFonts w:ascii="Calibri" w:hAnsi="Calibri" w:cs="Calibri"/>
                <w:sz w:val="22"/>
                <w:szCs w:val="22"/>
              </w:rPr>
            </w:pPr>
            <w:r>
              <w:rPr>
                <w:rFonts w:ascii="Calibri" w:hAnsi="Calibri" w:cs="Calibri"/>
                <w:sz w:val="22"/>
                <w:szCs w:val="22"/>
              </w:rPr>
              <w:t>The final documentation must be available by summer 2013.</w:t>
            </w:r>
          </w:p>
          <w:p w:rsidR="00891EA4" w:rsidRDefault="00891EA4" w:rsidP="00891EA4">
            <w:pPr>
              <w:pStyle w:val="ListParagraph"/>
              <w:numPr>
                <w:ilvl w:val="0"/>
                <w:numId w:val="17"/>
              </w:numPr>
              <w:spacing w:before="60" w:after="120"/>
              <w:rPr>
                <w:rFonts w:ascii="Calibri" w:hAnsi="Calibri" w:cs="Calibri"/>
                <w:sz w:val="22"/>
                <w:szCs w:val="22"/>
              </w:rPr>
            </w:pPr>
            <w:r>
              <w:rPr>
                <w:rFonts w:ascii="Calibri" w:hAnsi="Calibri" w:cs="Calibri"/>
                <w:sz w:val="22"/>
                <w:szCs w:val="22"/>
              </w:rPr>
              <w:t xml:space="preserve">Travel authorization for IIS staff may be a challenge. </w:t>
            </w:r>
          </w:p>
          <w:p w:rsidR="00F842A8" w:rsidRPr="00891EA4" w:rsidRDefault="00F842A8" w:rsidP="00891EA4">
            <w:pPr>
              <w:pStyle w:val="ListParagraph"/>
              <w:numPr>
                <w:ilvl w:val="0"/>
                <w:numId w:val="17"/>
              </w:numPr>
              <w:spacing w:before="60" w:after="120"/>
              <w:rPr>
                <w:rFonts w:ascii="Calibri" w:hAnsi="Calibri" w:cs="Calibri"/>
                <w:sz w:val="22"/>
                <w:szCs w:val="22"/>
              </w:rPr>
            </w:pPr>
            <w:r>
              <w:rPr>
                <w:rFonts w:ascii="Calibri" w:hAnsi="Calibri" w:cs="Calibri"/>
                <w:sz w:val="22"/>
                <w:szCs w:val="22"/>
              </w:rPr>
              <w:t>Finding a date for the workgroup meeting that doesn’t conflict with other AIRA/IIS meetings could be a challenge.</w:t>
            </w:r>
          </w:p>
        </w:tc>
      </w:tr>
      <w:tr w:rsidR="00560FDA" w:rsidRPr="008D0701" w:rsidTr="00E37349">
        <w:tc>
          <w:tcPr>
            <w:tcW w:w="9540" w:type="dxa"/>
            <w:tcBorders>
              <w:top w:val="single" w:sz="6" w:space="0" w:color="auto"/>
              <w:left w:val="single" w:sz="6" w:space="0" w:color="auto"/>
              <w:right w:val="single" w:sz="6" w:space="0" w:color="auto"/>
            </w:tcBorders>
          </w:tcPr>
          <w:p w:rsidR="00560FDA" w:rsidRPr="008946A5" w:rsidRDefault="00560FDA" w:rsidP="00891EA4">
            <w:pPr>
              <w:spacing w:before="60" w:after="0"/>
              <w:rPr>
                <w:rFonts w:ascii="Calibri" w:hAnsi="Calibri" w:cs="Calibri"/>
                <w:b/>
                <w:bCs/>
                <w:color w:val="054BA5"/>
                <w:sz w:val="22"/>
                <w:szCs w:val="22"/>
              </w:rPr>
            </w:pPr>
            <w:r w:rsidRPr="008946A5">
              <w:rPr>
                <w:rFonts w:ascii="Calibri" w:hAnsi="Calibri" w:cs="Calibri"/>
                <w:b/>
                <w:bCs/>
                <w:color w:val="054BA5"/>
                <w:sz w:val="22"/>
                <w:szCs w:val="22"/>
              </w:rPr>
              <w:t>Project Assumptions</w:t>
            </w:r>
          </w:p>
        </w:tc>
      </w:tr>
      <w:tr w:rsidR="00560FDA" w:rsidRPr="00D078E8" w:rsidTr="00E37349">
        <w:trPr>
          <w:trHeight w:val="1044"/>
        </w:trPr>
        <w:tc>
          <w:tcPr>
            <w:tcW w:w="9540" w:type="dxa"/>
            <w:tcBorders>
              <w:top w:val="nil"/>
              <w:left w:val="single" w:sz="6" w:space="0" w:color="auto"/>
              <w:bottom w:val="single" w:sz="6" w:space="0" w:color="auto"/>
              <w:right w:val="single" w:sz="6" w:space="0" w:color="auto"/>
            </w:tcBorders>
          </w:tcPr>
          <w:p w:rsidR="00560FDA" w:rsidRDefault="00891EA4" w:rsidP="00891EA4">
            <w:pPr>
              <w:pStyle w:val="ListParagraph"/>
              <w:numPr>
                <w:ilvl w:val="0"/>
                <w:numId w:val="18"/>
              </w:numPr>
              <w:spacing w:before="60" w:after="120"/>
              <w:rPr>
                <w:rFonts w:ascii="Calibri" w:hAnsi="Calibri" w:cs="Calibri"/>
                <w:sz w:val="22"/>
                <w:szCs w:val="22"/>
              </w:rPr>
            </w:pPr>
            <w:r>
              <w:rPr>
                <w:rFonts w:ascii="Calibri" w:hAnsi="Calibri" w:cs="Calibri"/>
                <w:sz w:val="22"/>
                <w:szCs w:val="22"/>
              </w:rPr>
              <w:t>Representatives of the EHR vendor community (particularly for ambulatory products) will be willing to work with the IIS community on this project.</w:t>
            </w:r>
          </w:p>
          <w:p w:rsidR="00891EA4" w:rsidRPr="00A20D31" w:rsidRDefault="00891EA4" w:rsidP="00A20D31">
            <w:pPr>
              <w:pStyle w:val="ListParagraph"/>
              <w:numPr>
                <w:ilvl w:val="0"/>
                <w:numId w:val="18"/>
              </w:numPr>
              <w:spacing w:before="60" w:after="120"/>
              <w:rPr>
                <w:rFonts w:ascii="Calibri" w:hAnsi="Calibri" w:cs="Calibri"/>
                <w:sz w:val="22"/>
                <w:szCs w:val="22"/>
              </w:rPr>
            </w:pPr>
            <w:r>
              <w:rPr>
                <w:rFonts w:ascii="Calibri" w:hAnsi="Calibri" w:cs="Calibri"/>
                <w:sz w:val="22"/>
                <w:szCs w:val="22"/>
              </w:rPr>
              <w:t>CMS and ONC will accept the result of this collaborative work, and consider it for reference in the stage 3 Meaningful Use NPRM.</w:t>
            </w:r>
          </w:p>
        </w:tc>
      </w:tr>
      <w:tr w:rsidR="00560FDA" w:rsidRPr="00D078E8" w:rsidTr="00E37349">
        <w:trPr>
          <w:trHeight w:val="1427"/>
        </w:trPr>
        <w:tc>
          <w:tcPr>
            <w:tcW w:w="9540" w:type="dxa"/>
            <w:tcBorders>
              <w:top w:val="single" w:sz="6" w:space="0" w:color="auto"/>
              <w:left w:val="single" w:sz="6" w:space="0" w:color="auto"/>
              <w:bottom w:val="single" w:sz="6" w:space="0" w:color="auto"/>
              <w:right w:val="single" w:sz="6" w:space="0" w:color="auto"/>
            </w:tcBorders>
          </w:tcPr>
          <w:p w:rsidR="00ED6903" w:rsidRPr="008434E1" w:rsidRDefault="00560FDA" w:rsidP="00ED6903">
            <w:pPr>
              <w:spacing w:before="60" w:after="120"/>
              <w:rPr>
                <w:rFonts w:ascii="Calibri" w:hAnsi="Calibri" w:cs="Calibri"/>
                <w:bCs/>
                <w:iCs/>
                <w:sz w:val="22"/>
                <w:szCs w:val="22"/>
              </w:rPr>
            </w:pPr>
            <w:r w:rsidRPr="008946A5">
              <w:rPr>
                <w:rFonts w:ascii="Calibri" w:hAnsi="Calibri" w:cs="Calibri"/>
                <w:b/>
                <w:bCs/>
                <w:color w:val="054BA5"/>
                <w:sz w:val="22"/>
                <w:szCs w:val="22"/>
              </w:rPr>
              <w:t xml:space="preserve">Project </w:t>
            </w:r>
            <w:r w:rsidR="00554186">
              <w:rPr>
                <w:rFonts w:ascii="Calibri" w:hAnsi="Calibri" w:cs="Calibri"/>
                <w:b/>
                <w:bCs/>
                <w:color w:val="054BA5"/>
                <w:sz w:val="22"/>
                <w:szCs w:val="22"/>
              </w:rPr>
              <w:t>Outputs</w:t>
            </w:r>
            <w:r w:rsidR="00DD1953">
              <w:rPr>
                <w:rFonts w:ascii="Calibri" w:hAnsi="Calibri" w:cs="Calibri"/>
                <w:b/>
                <w:bCs/>
                <w:color w:val="054BA5"/>
                <w:sz w:val="22"/>
                <w:szCs w:val="22"/>
              </w:rPr>
              <w:t xml:space="preserve"> and Dissemination</w:t>
            </w:r>
            <w:r w:rsidRPr="008946A5">
              <w:rPr>
                <w:rFonts w:ascii="Calibri" w:hAnsi="Calibri" w:cs="Calibri"/>
                <w:b/>
                <w:bCs/>
                <w:color w:val="054BA5"/>
                <w:sz w:val="22"/>
                <w:szCs w:val="22"/>
              </w:rPr>
              <w:t xml:space="preserve"> </w:t>
            </w:r>
            <w:r w:rsidRPr="008F0400">
              <w:rPr>
                <w:rFonts w:ascii="Calibri" w:hAnsi="Calibri" w:cs="Calibri"/>
                <w:b/>
                <w:bCs/>
                <w:color w:val="066AA6"/>
                <w:sz w:val="22"/>
                <w:szCs w:val="22"/>
              </w:rPr>
              <w:t xml:space="preserve"> </w:t>
            </w:r>
            <w:r>
              <w:rPr>
                <w:rFonts w:ascii="Calibri" w:hAnsi="Calibri" w:cs="Calibri"/>
                <w:b/>
                <w:bCs/>
                <w:sz w:val="22"/>
                <w:szCs w:val="22"/>
              </w:rPr>
              <w:t xml:space="preserve">  </w:t>
            </w:r>
          </w:p>
          <w:p w:rsidR="00A20D31" w:rsidRDefault="00A20D31" w:rsidP="008434E1">
            <w:pPr>
              <w:pStyle w:val="ListParagraph"/>
              <w:numPr>
                <w:ilvl w:val="0"/>
                <w:numId w:val="9"/>
              </w:numPr>
              <w:autoSpaceDE w:val="0"/>
              <w:autoSpaceDN w:val="0"/>
              <w:adjustRightInd w:val="0"/>
              <w:rPr>
                <w:rFonts w:ascii="Calibri" w:hAnsi="Calibri" w:cs="Calibri"/>
                <w:bCs/>
                <w:iCs/>
                <w:sz w:val="22"/>
                <w:szCs w:val="22"/>
              </w:rPr>
            </w:pPr>
            <w:r>
              <w:rPr>
                <w:rFonts w:ascii="Calibri" w:hAnsi="Calibri" w:cs="Calibri"/>
                <w:bCs/>
                <w:iCs/>
                <w:sz w:val="22"/>
                <w:szCs w:val="22"/>
              </w:rPr>
              <w:t xml:space="preserve">A gap analysis between the current guidance on bi-directional </w:t>
            </w:r>
            <w:r w:rsidR="00F842A8">
              <w:rPr>
                <w:rFonts w:ascii="Calibri" w:hAnsi="Calibri" w:cs="Calibri"/>
                <w:bCs/>
                <w:iCs/>
                <w:sz w:val="22"/>
                <w:szCs w:val="22"/>
              </w:rPr>
              <w:t xml:space="preserve">query </w:t>
            </w:r>
            <w:r>
              <w:rPr>
                <w:rFonts w:ascii="Calibri" w:hAnsi="Calibri" w:cs="Calibri"/>
                <w:bCs/>
                <w:iCs/>
                <w:sz w:val="22"/>
                <w:szCs w:val="22"/>
              </w:rPr>
              <w:t>exchange and actual practice.</w:t>
            </w:r>
          </w:p>
          <w:p w:rsidR="008434E1" w:rsidRDefault="00D53349" w:rsidP="008434E1">
            <w:pPr>
              <w:pStyle w:val="ListParagraph"/>
              <w:numPr>
                <w:ilvl w:val="0"/>
                <w:numId w:val="9"/>
              </w:numPr>
              <w:autoSpaceDE w:val="0"/>
              <w:autoSpaceDN w:val="0"/>
              <w:adjustRightInd w:val="0"/>
              <w:rPr>
                <w:rFonts w:ascii="Calibri" w:hAnsi="Calibri" w:cs="Calibri"/>
                <w:bCs/>
                <w:iCs/>
                <w:sz w:val="22"/>
                <w:szCs w:val="22"/>
              </w:rPr>
            </w:pPr>
            <w:r>
              <w:rPr>
                <w:rFonts w:ascii="Calibri" w:hAnsi="Calibri" w:cs="Calibri"/>
                <w:bCs/>
                <w:iCs/>
                <w:sz w:val="22"/>
                <w:szCs w:val="22"/>
              </w:rPr>
              <w:t>Detailed documentation on implement</w:t>
            </w:r>
            <w:r w:rsidR="00AA641B">
              <w:rPr>
                <w:rFonts w:ascii="Calibri" w:hAnsi="Calibri" w:cs="Calibri"/>
                <w:bCs/>
                <w:iCs/>
                <w:sz w:val="22"/>
                <w:szCs w:val="22"/>
              </w:rPr>
              <w:t>ing</w:t>
            </w:r>
            <w:r>
              <w:rPr>
                <w:rFonts w:ascii="Calibri" w:hAnsi="Calibri" w:cs="Calibri"/>
                <w:bCs/>
                <w:iCs/>
                <w:sz w:val="22"/>
                <w:szCs w:val="22"/>
              </w:rPr>
              <w:t xml:space="preserve"> </w:t>
            </w:r>
            <w:r w:rsidR="00AA641B">
              <w:rPr>
                <w:rFonts w:ascii="Calibri" w:hAnsi="Calibri" w:cs="Calibri"/>
                <w:bCs/>
                <w:iCs/>
                <w:sz w:val="22"/>
                <w:szCs w:val="22"/>
              </w:rPr>
              <w:t>the</w:t>
            </w:r>
            <w:r w:rsidR="00F842A8">
              <w:rPr>
                <w:rFonts w:ascii="Calibri" w:hAnsi="Calibri" w:cs="Calibri"/>
                <w:bCs/>
                <w:iCs/>
                <w:sz w:val="22"/>
                <w:szCs w:val="22"/>
              </w:rPr>
              <w:t xml:space="preserve"> bi-directional query exchange use case</w:t>
            </w:r>
            <w:r>
              <w:rPr>
                <w:rFonts w:ascii="Calibri" w:hAnsi="Calibri" w:cs="Calibri"/>
                <w:bCs/>
                <w:iCs/>
                <w:sz w:val="22"/>
                <w:szCs w:val="22"/>
              </w:rPr>
              <w:t xml:space="preserve">. </w:t>
            </w:r>
          </w:p>
          <w:p w:rsidR="00AA641B" w:rsidRDefault="00F842A8" w:rsidP="00F842A8">
            <w:pPr>
              <w:pStyle w:val="ListParagraph"/>
              <w:numPr>
                <w:ilvl w:val="0"/>
                <w:numId w:val="9"/>
              </w:numPr>
              <w:autoSpaceDE w:val="0"/>
              <w:autoSpaceDN w:val="0"/>
              <w:adjustRightInd w:val="0"/>
              <w:rPr>
                <w:rFonts w:ascii="Calibri" w:hAnsi="Calibri" w:cs="Calibri"/>
                <w:bCs/>
                <w:iCs/>
                <w:sz w:val="22"/>
                <w:szCs w:val="22"/>
              </w:rPr>
            </w:pPr>
            <w:r>
              <w:rPr>
                <w:rFonts w:ascii="Calibri" w:hAnsi="Calibri" w:cs="Calibri"/>
                <w:bCs/>
                <w:iCs/>
                <w:sz w:val="22"/>
                <w:szCs w:val="22"/>
              </w:rPr>
              <w:t>Possible r</w:t>
            </w:r>
            <w:r w:rsidR="00A20D31">
              <w:rPr>
                <w:rFonts w:ascii="Calibri" w:hAnsi="Calibri" w:cs="Calibri"/>
                <w:bCs/>
                <w:iCs/>
                <w:sz w:val="22"/>
                <w:szCs w:val="22"/>
              </w:rPr>
              <w:t>ecommended</w:t>
            </w:r>
            <w:r w:rsidR="00D53349">
              <w:rPr>
                <w:rFonts w:ascii="Calibri" w:hAnsi="Calibri" w:cs="Calibri"/>
                <w:bCs/>
                <w:iCs/>
                <w:sz w:val="22"/>
                <w:szCs w:val="22"/>
              </w:rPr>
              <w:t xml:space="preserve"> updates to the</w:t>
            </w:r>
            <w:r w:rsidR="004A0BA5">
              <w:rPr>
                <w:rFonts w:ascii="Calibri" w:hAnsi="Calibri" w:cs="Calibri"/>
                <w:bCs/>
                <w:iCs/>
                <w:sz w:val="22"/>
                <w:szCs w:val="22"/>
              </w:rPr>
              <w:t xml:space="preserve"> HL7 v2.5.1 i</w:t>
            </w:r>
            <w:r w:rsidR="00D53349">
              <w:rPr>
                <w:rFonts w:ascii="Calibri" w:hAnsi="Calibri" w:cs="Calibri"/>
                <w:bCs/>
                <w:iCs/>
                <w:sz w:val="22"/>
                <w:szCs w:val="22"/>
              </w:rPr>
              <w:t xml:space="preserve">mplementation </w:t>
            </w:r>
            <w:r w:rsidR="004A0BA5">
              <w:rPr>
                <w:rFonts w:ascii="Calibri" w:hAnsi="Calibri" w:cs="Calibri"/>
                <w:bCs/>
                <w:iCs/>
                <w:sz w:val="22"/>
                <w:szCs w:val="22"/>
              </w:rPr>
              <w:t>g</w:t>
            </w:r>
            <w:r w:rsidR="00D53349">
              <w:rPr>
                <w:rFonts w:ascii="Calibri" w:hAnsi="Calibri" w:cs="Calibri"/>
                <w:bCs/>
                <w:iCs/>
                <w:sz w:val="22"/>
                <w:szCs w:val="22"/>
              </w:rPr>
              <w:t>uide</w:t>
            </w:r>
            <w:r w:rsidR="004A0BA5">
              <w:rPr>
                <w:rFonts w:ascii="Calibri" w:hAnsi="Calibri" w:cs="Calibri"/>
                <w:bCs/>
                <w:iCs/>
                <w:sz w:val="22"/>
                <w:szCs w:val="22"/>
              </w:rPr>
              <w:t>.</w:t>
            </w:r>
            <w:r w:rsidR="00AA641B">
              <w:rPr>
                <w:rFonts w:ascii="Calibri" w:hAnsi="Calibri" w:cs="Calibri"/>
                <w:bCs/>
                <w:iCs/>
                <w:sz w:val="22"/>
                <w:szCs w:val="22"/>
              </w:rPr>
              <w:t xml:space="preserve"> </w:t>
            </w:r>
          </w:p>
          <w:p w:rsidR="00DD1953" w:rsidRDefault="00F842A8" w:rsidP="00DD1953">
            <w:pPr>
              <w:pStyle w:val="ListParagraph"/>
              <w:numPr>
                <w:ilvl w:val="0"/>
                <w:numId w:val="9"/>
              </w:numPr>
              <w:autoSpaceDE w:val="0"/>
              <w:autoSpaceDN w:val="0"/>
              <w:adjustRightInd w:val="0"/>
              <w:rPr>
                <w:rFonts w:ascii="Calibri" w:hAnsi="Calibri" w:cs="Calibri"/>
                <w:bCs/>
                <w:iCs/>
                <w:sz w:val="22"/>
                <w:szCs w:val="22"/>
              </w:rPr>
            </w:pPr>
            <w:r>
              <w:rPr>
                <w:rFonts w:ascii="Calibri" w:hAnsi="Calibri" w:cs="Calibri"/>
                <w:bCs/>
                <w:iCs/>
                <w:sz w:val="22"/>
                <w:szCs w:val="22"/>
              </w:rPr>
              <w:t xml:space="preserve">Possible documentation on the potential uses and limitation of the CDA standard for bi-directional query exchange. </w:t>
            </w:r>
          </w:p>
          <w:p w:rsidR="00537679" w:rsidRDefault="00DD1953" w:rsidP="00537679">
            <w:pPr>
              <w:autoSpaceDE w:val="0"/>
              <w:autoSpaceDN w:val="0"/>
              <w:adjustRightInd w:val="0"/>
              <w:spacing w:after="120"/>
              <w:rPr>
                <w:rFonts w:ascii="Calibri" w:hAnsi="Calibri" w:cs="Calibri"/>
                <w:bCs/>
                <w:iCs/>
                <w:sz w:val="22"/>
                <w:szCs w:val="22"/>
              </w:rPr>
            </w:pPr>
            <w:r>
              <w:rPr>
                <w:rFonts w:ascii="Calibri" w:hAnsi="Calibri" w:cs="Calibri"/>
                <w:bCs/>
                <w:iCs/>
                <w:sz w:val="22"/>
                <w:szCs w:val="22"/>
              </w:rPr>
              <w:t xml:space="preserve">The outputs from this project </w:t>
            </w:r>
            <w:r w:rsidR="00537679">
              <w:rPr>
                <w:rFonts w:ascii="Calibri" w:hAnsi="Calibri" w:cs="Calibri"/>
                <w:bCs/>
                <w:iCs/>
                <w:sz w:val="22"/>
                <w:szCs w:val="22"/>
              </w:rPr>
              <w:t xml:space="preserve">need to be readily available to IIS projects, system developers, the ONC and others. The work products will also have to be properly curated and maintained over time. The following responsibilities for production, dissemination and </w:t>
            </w:r>
            <w:proofErr w:type="spellStart"/>
            <w:r w:rsidR="00537679">
              <w:rPr>
                <w:rFonts w:ascii="Calibri" w:hAnsi="Calibri" w:cs="Calibri"/>
                <w:bCs/>
                <w:iCs/>
                <w:sz w:val="22"/>
                <w:szCs w:val="22"/>
              </w:rPr>
              <w:t>curation</w:t>
            </w:r>
            <w:proofErr w:type="spellEnd"/>
            <w:r w:rsidR="00537679">
              <w:rPr>
                <w:rFonts w:ascii="Calibri" w:hAnsi="Calibri" w:cs="Calibri"/>
                <w:bCs/>
                <w:iCs/>
                <w:sz w:val="22"/>
                <w:szCs w:val="22"/>
              </w:rPr>
              <w:t xml:space="preserve"> are proposed:</w:t>
            </w:r>
          </w:p>
          <w:p w:rsidR="00537679" w:rsidRDefault="00537679" w:rsidP="00537679">
            <w:pPr>
              <w:pStyle w:val="ListParagraph"/>
              <w:numPr>
                <w:ilvl w:val="0"/>
                <w:numId w:val="19"/>
              </w:numPr>
              <w:autoSpaceDE w:val="0"/>
              <w:autoSpaceDN w:val="0"/>
              <w:adjustRightInd w:val="0"/>
              <w:rPr>
                <w:rFonts w:ascii="Calibri" w:hAnsi="Calibri" w:cs="Calibri"/>
                <w:bCs/>
                <w:iCs/>
                <w:sz w:val="22"/>
                <w:szCs w:val="22"/>
              </w:rPr>
            </w:pPr>
            <w:r>
              <w:rPr>
                <w:rFonts w:ascii="Calibri" w:hAnsi="Calibri" w:cs="Calibri"/>
                <w:bCs/>
                <w:iCs/>
                <w:sz w:val="22"/>
                <w:szCs w:val="22"/>
              </w:rPr>
              <w:t>Development and production of work projects: PHII</w:t>
            </w:r>
          </w:p>
          <w:p w:rsidR="00537679" w:rsidRDefault="00537679" w:rsidP="00537679">
            <w:pPr>
              <w:pStyle w:val="ListParagraph"/>
              <w:numPr>
                <w:ilvl w:val="0"/>
                <w:numId w:val="19"/>
              </w:numPr>
              <w:autoSpaceDE w:val="0"/>
              <w:autoSpaceDN w:val="0"/>
              <w:adjustRightInd w:val="0"/>
              <w:rPr>
                <w:rFonts w:ascii="Calibri" w:hAnsi="Calibri" w:cs="Calibri"/>
                <w:bCs/>
                <w:iCs/>
                <w:sz w:val="22"/>
                <w:szCs w:val="22"/>
              </w:rPr>
            </w:pPr>
            <w:r>
              <w:rPr>
                <w:rFonts w:ascii="Calibri" w:hAnsi="Calibri" w:cs="Calibri"/>
                <w:bCs/>
                <w:iCs/>
                <w:sz w:val="22"/>
                <w:szCs w:val="22"/>
              </w:rPr>
              <w:t>Dissemination to IIS community and IIS developers: AIRA and CDC</w:t>
            </w:r>
          </w:p>
          <w:p w:rsidR="00537679" w:rsidRDefault="00537679" w:rsidP="00537679">
            <w:pPr>
              <w:pStyle w:val="ListParagraph"/>
              <w:numPr>
                <w:ilvl w:val="0"/>
                <w:numId w:val="19"/>
              </w:numPr>
              <w:autoSpaceDE w:val="0"/>
              <w:autoSpaceDN w:val="0"/>
              <w:adjustRightInd w:val="0"/>
              <w:rPr>
                <w:rFonts w:ascii="Calibri" w:hAnsi="Calibri" w:cs="Calibri"/>
                <w:bCs/>
                <w:iCs/>
                <w:sz w:val="22"/>
                <w:szCs w:val="22"/>
              </w:rPr>
            </w:pPr>
            <w:r>
              <w:rPr>
                <w:rFonts w:ascii="Calibri" w:hAnsi="Calibri" w:cs="Calibri"/>
                <w:bCs/>
                <w:iCs/>
                <w:sz w:val="22"/>
                <w:szCs w:val="22"/>
              </w:rPr>
              <w:t>Web posting of work products: AIRA and CDC</w:t>
            </w:r>
          </w:p>
          <w:p w:rsidR="00537679" w:rsidRDefault="00537679" w:rsidP="00537679">
            <w:pPr>
              <w:pStyle w:val="ListParagraph"/>
              <w:numPr>
                <w:ilvl w:val="0"/>
                <w:numId w:val="19"/>
              </w:numPr>
              <w:autoSpaceDE w:val="0"/>
              <w:autoSpaceDN w:val="0"/>
              <w:adjustRightInd w:val="0"/>
              <w:rPr>
                <w:rFonts w:ascii="Calibri" w:hAnsi="Calibri" w:cs="Calibri"/>
                <w:bCs/>
                <w:iCs/>
                <w:sz w:val="22"/>
                <w:szCs w:val="22"/>
              </w:rPr>
            </w:pPr>
            <w:r>
              <w:rPr>
                <w:rFonts w:ascii="Calibri" w:hAnsi="Calibri" w:cs="Calibri"/>
                <w:bCs/>
                <w:iCs/>
                <w:sz w:val="22"/>
                <w:szCs w:val="22"/>
              </w:rPr>
              <w:t>maintenance and periodic updating: CDC and AIRA</w:t>
            </w:r>
          </w:p>
          <w:p w:rsidR="00802FB5" w:rsidRPr="00537679" w:rsidRDefault="00537679" w:rsidP="00DD1953">
            <w:pPr>
              <w:pStyle w:val="ListParagraph"/>
              <w:numPr>
                <w:ilvl w:val="0"/>
                <w:numId w:val="19"/>
              </w:numPr>
              <w:autoSpaceDE w:val="0"/>
              <w:autoSpaceDN w:val="0"/>
              <w:adjustRightInd w:val="0"/>
              <w:rPr>
                <w:rFonts w:ascii="Calibri" w:hAnsi="Calibri" w:cs="Calibri"/>
                <w:bCs/>
                <w:iCs/>
                <w:sz w:val="22"/>
                <w:szCs w:val="22"/>
              </w:rPr>
            </w:pPr>
            <w:r>
              <w:rPr>
                <w:rFonts w:ascii="Calibri" w:hAnsi="Calibri" w:cs="Calibri"/>
                <w:bCs/>
                <w:iCs/>
                <w:sz w:val="22"/>
                <w:szCs w:val="22"/>
              </w:rPr>
              <w:t>Deterioration/authoritative source: CDC</w:t>
            </w:r>
          </w:p>
        </w:tc>
      </w:tr>
    </w:tbl>
    <w:p w:rsidR="00633425" w:rsidRDefault="00633425" w:rsidP="00633425">
      <w:pPr>
        <w:rPr>
          <w:b/>
          <w:bCs/>
          <w:sz w:val="22"/>
          <w:szCs w:val="22"/>
        </w:rPr>
      </w:pPr>
    </w:p>
    <w:p w:rsidR="0051484F" w:rsidRDefault="0051484F" w:rsidP="00633425">
      <w:pPr>
        <w:rPr>
          <w:b/>
          <w:bCs/>
          <w:sz w:val="22"/>
          <w:szCs w:val="22"/>
        </w:rPr>
      </w:pPr>
    </w:p>
    <w:p w:rsidR="0051484F" w:rsidRDefault="0051484F" w:rsidP="00633425">
      <w:pPr>
        <w:rPr>
          <w:b/>
          <w:bCs/>
          <w:sz w:val="22"/>
          <w:szCs w:val="22"/>
        </w:rPr>
      </w:pPr>
    </w:p>
    <w:p w:rsidR="0051484F" w:rsidRPr="00325DDF" w:rsidRDefault="0051484F" w:rsidP="00633425">
      <w:pPr>
        <w:rPr>
          <w:b/>
          <w:bCs/>
          <w:sz w:val="22"/>
          <w:szCs w:val="22"/>
        </w:rPr>
      </w:pPr>
    </w:p>
    <w:p w:rsidR="00633425" w:rsidRDefault="00633425"/>
    <w:sectPr w:rsidR="00633425" w:rsidSect="00891EA4">
      <w:footerReference w:type="default" r:id="rId9"/>
      <w:pgSz w:w="12240" w:h="15840"/>
      <w:pgMar w:top="1440" w:right="1800" w:bottom="1170" w:left="180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B4A" w:rsidRDefault="003E2B4A" w:rsidP="007C004F">
      <w:pPr>
        <w:spacing w:after="0"/>
      </w:pPr>
      <w:r>
        <w:separator/>
      </w:r>
    </w:p>
  </w:endnote>
  <w:endnote w:type="continuationSeparator" w:id="0">
    <w:p w:rsidR="003E2B4A" w:rsidRDefault="003E2B4A" w:rsidP="007C004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1EC" w:rsidRPr="007C004F" w:rsidRDefault="003041EC">
    <w:pPr>
      <w:pStyle w:val="Footer"/>
      <w:rPr>
        <w:rFonts w:asciiTheme="minorHAnsi" w:hAnsiTheme="minorHAnsi"/>
        <w:sz w:val="20"/>
      </w:rPr>
    </w:pPr>
    <w:r>
      <w:rPr>
        <w:rFonts w:asciiTheme="minorHAnsi" w:hAnsiTheme="minorHAnsi"/>
        <w:sz w:val="20"/>
      </w:rPr>
      <w:t xml:space="preserve">Bi-Directional </w:t>
    </w:r>
    <w:r w:rsidR="006D4A5A">
      <w:rPr>
        <w:rFonts w:asciiTheme="minorHAnsi" w:hAnsiTheme="minorHAnsi"/>
        <w:sz w:val="20"/>
      </w:rPr>
      <w:t>Query</w:t>
    </w:r>
    <w:r>
      <w:rPr>
        <w:rFonts w:asciiTheme="minorHAnsi" w:hAnsiTheme="minorHAnsi"/>
        <w:sz w:val="20"/>
      </w:rPr>
      <w:t xml:space="preserve"> Exchange</w:t>
    </w:r>
    <w:r w:rsidRPr="007C004F">
      <w:rPr>
        <w:rFonts w:asciiTheme="minorHAnsi" w:hAnsiTheme="minorHAnsi"/>
        <w:sz w:val="20"/>
      </w:rPr>
      <w:t xml:space="preserve"> Charter</w:t>
    </w:r>
    <w:r w:rsidRPr="007C004F">
      <w:rPr>
        <w:rFonts w:asciiTheme="minorHAnsi" w:hAnsiTheme="minorHAnsi"/>
        <w:sz w:val="20"/>
      </w:rPr>
      <w:ptab w:relativeTo="margin" w:alignment="center" w:leader="none"/>
    </w:r>
    <w:r w:rsidR="00B72407" w:rsidRPr="00B72407">
      <w:fldChar w:fldCharType="begin"/>
    </w:r>
    <w:r>
      <w:instrText xml:space="preserve"> PAGE   \* MERGEFORMAT </w:instrText>
    </w:r>
    <w:r w:rsidR="00B72407" w:rsidRPr="00B72407">
      <w:fldChar w:fldCharType="separate"/>
    </w:r>
    <w:r w:rsidR="00537679" w:rsidRPr="00537679">
      <w:rPr>
        <w:rFonts w:asciiTheme="minorHAnsi" w:hAnsiTheme="minorHAnsi"/>
        <w:noProof/>
        <w:sz w:val="20"/>
      </w:rPr>
      <w:t>2</w:t>
    </w:r>
    <w:r w:rsidR="00B72407">
      <w:rPr>
        <w:rFonts w:asciiTheme="minorHAnsi" w:hAnsiTheme="minorHAnsi"/>
        <w:noProof/>
        <w:sz w:val="20"/>
      </w:rPr>
      <w:fldChar w:fldCharType="end"/>
    </w:r>
    <w:r w:rsidRPr="007C004F">
      <w:rPr>
        <w:rFonts w:asciiTheme="minorHAnsi" w:hAnsiTheme="minorHAnsi"/>
        <w:sz w:val="20"/>
      </w:rPr>
      <w:ptab w:relativeTo="margin" w:alignment="right" w:leader="none"/>
    </w:r>
    <w:r w:rsidR="006D4A5A">
      <w:rPr>
        <w:rFonts w:asciiTheme="minorHAnsi" w:hAnsiTheme="minorHAnsi"/>
        <w:sz w:val="20"/>
      </w:rPr>
      <w:t>December 14,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B4A" w:rsidRDefault="003E2B4A" w:rsidP="007C004F">
      <w:pPr>
        <w:spacing w:after="0"/>
      </w:pPr>
      <w:r>
        <w:separator/>
      </w:r>
    </w:p>
  </w:footnote>
  <w:footnote w:type="continuationSeparator" w:id="0">
    <w:p w:rsidR="003E2B4A" w:rsidRDefault="003E2B4A" w:rsidP="007C004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F67BC"/>
    <w:multiLevelType w:val="multilevel"/>
    <w:tmpl w:val="EA66C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EA3576"/>
    <w:multiLevelType w:val="hybridMultilevel"/>
    <w:tmpl w:val="4A1C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72C32"/>
    <w:multiLevelType w:val="hybridMultilevel"/>
    <w:tmpl w:val="7838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7D6861"/>
    <w:multiLevelType w:val="multilevel"/>
    <w:tmpl w:val="94AAD8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D4E69B8"/>
    <w:multiLevelType w:val="hybridMultilevel"/>
    <w:tmpl w:val="2BD0223A"/>
    <w:lvl w:ilvl="0" w:tplc="04090001">
      <w:start w:val="1"/>
      <w:numFmt w:val="bullet"/>
      <w:lvlText w:val=""/>
      <w:lvlJc w:val="left"/>
      <w:pPr>
        <w:ind w:left="720" w:hanging="360"/>
      </w:pPr>
      <w:rPr>
        <w:rFonts w:ascii="Symbol" w:hAnsi="Symbol" w:cs="Wingdings"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Wingdings"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Wingdings"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nsid w:val="250019B6"/>
    <w:multiLevelType w:val="multilevel"/>
    <w:tmpl w:val="94AAD8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7B15E1B"/>
    <w:multiLevelType w:val="hybridMultilevel"/>
    <w:tmpl w:val="F0AA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180989"/>
    <w:multiLevelType w:val="hybridMultilevel"/>
    <w:tmpl w:val="EA66C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C510A2"/>
    <w:multiLevelType w:val="hybridMultilevel"/>
    <w:tmpl w:val="94AA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E9583E"/>
    <w:multiLevelType w:val="hybridMultilevel"/>
    <w:tmpl w:val="273A42E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0">
    <w:nsid w:val="42056EA2"/>
    <w:multiLevelType w:val="singleLevel"/>
    <w:tmpl w:val="04090001"/>
    <w:lvl w:ilvl="0">
      <w:start w:val="1"/>
      <w:numFmt w:val="bullet"/>
      <w:lvlText w:val=""/>
      <w:lvlJc w:val="left"/>
      <w:pPr>
        <w:ind w:left="720" w:hanging="360"/>
      </w:pPr>
      <w:rPr>
        <w:rFonts w:ascii="Symbol" w:hAnsi="Symbol" w:hint="default"/>
      </w:rPr>
    </w:lvl>
  </w:abstractNum>
  <w:abstractNum w:abstractNumId="11">
    <w:nsid w:val="49093133"/>
    <w:multiLevelType w:val="hybridMultilevel"/>
    <w:tmpl w:val="7126565C"/>
    <w:lvl w:ilvl="0" w:tplc="04090001">
      <w:start w:val="1"/>
      <w:numFmt w:val="bullet"/>
      <w:lvlText w:val=""/>
      <w:lvlJc w:val="left"/>
      <w:pPr>
        <w:ind w:left="720" w:hanging="360"/>
      </w:pPr>
      <w:rPr>
        <w:rFonts w:ascii="Symbol" w:hAnsi="Symbol"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Wingdings"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Wingdings"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nsid w:val="4ECC3D8C"/>
    <w:multiLevelType w:val="hybridMultilevel"/>
    <w:tmpl w:val="EA66C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E57B46"/>
    <w:multiLevelType w:val="hybridMultilevel"/>
    <w:tmpl w:val="256ACA30"/>
    <w:lvl w:ilvl="0" w:tplc="04090001">
      <w:start w:val="1"/>
      <w:numFmt w:val="bullet"/>
      <w:lvlText w:val=""/>
      <w:lvlJc w:val="left"/>
      <w:pPr>
        <w:ind w:left="720" w:hanging="360"/>
      </w:pPr>
      <w:rPr>
        <w:rFonts w:ascii="Symbol" w:hAnsi="Symbol"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Wingdings"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Wingdings"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nsid w:val="5DBD6035"/>
    <w:multiLevelType w:val="multilevel"/>
    <w:tmpl w:val="D9E00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F0A176E"/>
    <w:multiLevelType w:val="hybridMultilevel"/>
    <w:tmpl w:val="F66C2BD2"/>
    <w:lvl w:ilvl="0" w:tplc="04090001">
      <w:start w:val="1"/>
      <w:numFmt w:val="bullet"/>
      <w:lvlText w:val=""/>
      <w:lvlJc w:val="left"/>
      <w:pPr>
        <w:ind w:left="720" w:hanging="360"/>
      </w:pPr>
      <w:rPr>
        <w:rFonts w:ascii="Symbol" w:hAnsi="Symbol"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Wingdings"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Wingdings"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6F4A3F9F"/>
    <w:multiLevelType w:val="hybridMultilevel"/>
    <w:tmpl w:val="FB884F36"/>
    <w:lvl w:ilvl="0" w:tplc="04090001">
      <w:start w:val="1"/>
      <w:numFmt w:val="bullet"/>
      <w:lvlText w:val=""/>
      <w:lvlJc w:val="left"/>
      <w:pPr>
        <w:ind w:left="720" w:hanging="360"/>
      </w:pPr>
      <w:rPr>
        <w:rFonts w:ascii="Symbol" w:hAnsi="Symbol"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Wingdings"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Wingdings"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nsid w:val="738A46D7"/>
    <w:multiLevelType w:val="hybridMultilevel"/>
    <w:tmpl w:val="3D263F28"/>
    <w:lvl w:ilvl="0" w:tplc="B812F87E">
      <w:start w:val="1"/>
      <w:numFmt w:val="decimal"/>
      <w:lvlText w:val="%1."/>
      <w:lvlJc w:val="left"/>
      <w:pPr>
        <w:ind w:left="720" w:hanging="360"/>
      </w:pPr>
      <w:rPr>
        <w:rFonts w:hint="default"/>
        <w:b w:val="0"/>
        <w:bCs w:val="0"/>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0838E8"/>
    <w:multiLevelType w:val="hybridMultilevel"/>
    <w:tmpl w:val="BF62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1"/>
  </w:num>
  <w:num w:numId="4">
    <w:abstractNumId w:val="13"/>
  </w:num>
  <w:num w:numId="5">
    <w:abstractNumId w:val="16"/>
  </w:num>
  <w:num w:numId="6">
    <w:abstractNumId w:val="9"/>
  </w:num>
  <w:num w:numId="7">
    <w:abstractNumId w:val="8"/>
  </w:num>
  <w:num w:numId="8">
    <w:abstractNumId w:val="18"/>
  </w:num>
  <w:num w:numId="9">
    <w:abstractNumId w:val="6"/>
  </w:num>
  <w:num w:numId="10">
    <w:abstractNumId w:val="5"/>
  </w:num>
  <w:num w:numId="11">
    <w:abstractNumId w:val="3"/>
  </w:num>
  <w:num w:numId="12">
    <w:abstractNumId w:val="17"/>
  </w:num>
  <w:num w:numId="13">
    <w:abstractNumId w:val="12"/>
  </w:num>
  <w:num w:numId="14">
    <w:abstractNumId w:val="7"/>
  </w:num>
  <w:num w:numId="15">
    <w:abstractNumId w:val="14"/>
  </w:num>
  <w:num w:numId="16">
    <w:abstractNumId w:val="0"/>
  </w:num>
  <w:num w:numId="17">
    <w:abstractNumId w:val="1"/>
  </w:num>
  <w:num w:numId="18">
    <w:abstractNumId w:val="2"/>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efaultTabStop w:val="720"/>
  <w:drawingGridHorizontalSpacing w:val="12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docVars>
    <w:docVar w:name="dgnword-docGUID" w:val="{6E085819-1201-42A0-B4AD-EBF167AAA8FF}"/>
    <w:docVar w:name="dgnword-eventsink" w:val="105747864"/>
  </w:docVars>
  <w:rsids>
    <w:rsidRoot w:val="00B40407"/>
    <w:rsid w:val="00010D08"/>
    <w:rsid w:val="0001547C"/>
    <w:rsid w:val="00016CA8"/>
    <w:rsid w:val="00050EBC"/>
    <w:rsid w:val="00071070"/>
    <w:rsid w:val="000B3334"/>
    <w:rsid w:val="000F7761"/>
    <w:rsid w:val="00100A9A"/>
    <w:rsid w:val="0011080B"/>
    <w:rsid w:val="00113AF2"/>
    <w:rsid w:val="00156DF8"/>
    <w:rsid w:val="0018645F"/>
    <w:rsid w:val="001B1250"/>
    <w:rsid w:val="001B49CB"/>
    <w:rsid w:val="00214DDC"/>
    <w:rsid w:val="00222048"/>
    <w:rsid w:val="00276992"/>
    <w:rsid w:val="002A2B99"/>
    <w:rsid w:val="002C7F52"/>
    <w:rsid w:val="002F0D9B"/>
    <w:rsid w:val="002F3267"/>
    <w:rsid w:val="002F5F2F"/>
    <w:rsid w:val="003041EC"/>
    <w:rsid w:val="003521A5"/>
    <w:rsid w:val="00396239"/>
    <w:rsid w:val="003A7CFE"/>
    <w:rsid w:val="003E2B4A"/>
    <w:rsid w:val="00405EA4"/>
    <w:rsid w:val="004073F5"/>
    <w:rsid w:val="00422AAE"/>
    <w:rsid w:val="00441019"/>
    <w:rsid w:val="00444EB2"/>
    <w:rsid w:val="00454A98"/>
    <w:rsid w:val="00464842"/>
    <w:rsid w:val="00490504"/>
    <w:rsid w:val="004A0BA5"/>
    <w:rsid w:val="004C7B7D"/>
    <w:rsid w:val="00512883"/>
    <w:rsid w:val="0051484F"/>
    <w:rsid w:val="00533903"/>
    <w:rsid w:val="00537679"/>
    <w:rsid w:val="00554186"/>
    <w:rsid w:val="00560FDA"/>
    <w:rsid w:val="00590ED7"/>
    <w:rsid w:val="005D260D"/>
    <w:rsid w:val="005E5252"/>
    <w:rsid w:val="00620CC8"/>
    <w:rsid w:val="006213A1"/>
    <w:rsid w:val="00626B95"/>
    <w:rsid w:val="00630E4B"/>
    <w:rsid w:val="00633425"/>
    <w:rsid w:val="00652D41"/>
    <w:rsid w:val="006614DB"/>
    <w:rsid w:val="006848C5"/>
    <w:rsid w:val="006B49F6"/>
    <w:rsid w:val="006C1EC2"/>
    <w:rsid w:val="006D4A5A"/>
    <w:rsid w:val="00747F75"/>
    <w:rsid w:val="00751750"/>
    <w:rsid w:val="0076743F"/>
    <w:rsid w:val="00780092"/>
    <w:rsid w:val="007801B3"/>
    <w:rsid w:val="0079523E"/>
    <w:rsid w:val="007C004F"/>
    <w:rsid w:val="007D2787"/>
    <w:rsid w:val="007D2DCA"/>
    <w:rsid w:val="007F6B88"/>
    <w:rsid w:val="00802FB5"/>
    <w:rsid w:val="00803D3B"/>
    <w:rsid w:val="00836872"/>
    <w:rsid w:val="008434E1"/>
    <w:rsid w:val="00856AE2"/>
    <w:rsid w:val="00864AB8"/>
    <w:rsid w:val="00891EA4"/>
    <w:rsid w:val="008946A5"/>
    <w:rsid w:val="008B0C31"/>
    <w:rsid w:val="008C6E5E"/>
    <w:rsid w:val="008D0701"/>
    <w:rsid w:val="008F0400"/>
    <w:rsid w:val="008F0FA0"/>
    <w:rsid w:val="00905924"/>
    <w:rsid w:val="009205A1"/>
    <w:rsid w:val="00924B0D"/>
    <w:rsid w:val="00955316"/>
    <w:rsid w:val="00980E40"/>
    <w:rsid w:val="009817EB"/>
    <w:rsid w:val="0098695C"/>
    <w:rsid w:val="009B02B3"/>
    <w:rsid w:val="009C3DCF"/>
    <w:rsid w:val="00A101F8"/>
    <w:rsid w:val="00A114B7"/>
    <w:rsid w:val="00A20D31"/>
    <w:rsid w:val="00A40697"/>
    <w:rsid w:val="00A430CB"/>
    <w:rsid w:val="00A53712"/>
    <w:rsid w:val="00A94B7B"/>
    <w:rsid w:val="00AA512C"/>
    <w:rsid w:val="00AA641B"/>
    <w:rsid w:val="00AC71A3"/>
    <w:rsid w:val="00AE07ED"/>
    <w:rsid w:val="00B15FCC"/>
    <w:rsid w:val="00B40407"/>
    <w:rsid w:val="00B5191C"/>
    <w:rsid w:val="00B53C32"/>
    <w:rsid w:val="00B72407"/>
    <w:rsid w:val="00B96C44"/>
    <w:rsid w:val="00BF21BA"/>
    <w:rsid w:val="00C00522"/>
    <w:rsid w:val="00C00B63"/>
    <w:rsid w:val="00C30B6E"/>
    <w:rsid w:val="00C32383"/>
    <w:rsid w:val="00C324ED"/>
    <w:rsid w:val="00C6449E"/>
    <w:rsid w:val="00CA7E7A"/>
    <w:rsid w:val="00CD009C"/>
    <w:rsid w:val="00CE0F10"/>
    <w:rsid w:val="00CF0C24"/>
    <w:rsid w:val="00D204C6"/>
    <w:rsid w:val="00D26276"/>
    <w:rsid w:val="00D53349"/>
    <w:rsid w:val="00DB5568"/>
    <w:rsid w:val="00DD1953"/>
    <w:rsid w:val="00DE572E"/>
    <w:rsid w:val="00E26B31"/>
    <w:rsid w:val="00E3432E"/>
    <w:rsid w:val="00E37349"/>
    <w:rsid w:val="00E52CC0"/>
    <w:rsid w:val="00E64512"/>
    <w:rsid w:val="00E82F8E"/>
    <w:rsid w:val="00E95425"/>
    <w:rsid w:val="00ED6903"/>
    <w:rsid w:val="00F077DE"/>
    <w:rsid w:val="00F11D32"/>
    <w:rsid w:val="00F308E6"/>
    <w:rsid w:val="00F4301B"/>
    <w:rsid w:val="00F842A8"/>
    <w:rsid w:val="00FA7DF6"/>
    <w:rsid w:val="00FD01B2"/>
    <w:rsid w:val="00FD5C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407"/>
    <w:pPr>
      <w:spacing w:after="200"/>
    </w:pPr>
    <w:rPr>
      <w:rFonts w:cs="Cambria"/>
      <w:sz w:val="24"/>
      <w:szCs w:val="24"/>
    </w:rPr>
  </w:style>
  <w:style w:type="paragraph" w:styleId="Heading1">
    <w:name w:val="heading 1"/>
    <w:basedOn w:val="Normal"/>
    <w:next w:val="Normal"/>
    <w:link w:val="Heading1Char"/>
    <w:uiPriority w:val="99"/>
    <w:qFormat/>
    <w:rsid w:val="00B40407"/>
    <w:pPr>
      <w:keepNext/>
      <w:autoSpaceDE w:val="0"/>
      <w:autoSpaceDN w:val="0"/>
      <w:adjustRightInd w:val="0"/>
      <w:spacing w:after="0"/>
      <w:outlineLvl w:val="0"/>
    </w:pPr>
    <w:rPr>
      <w:rFonts w:eastAsia="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40407"/>
    <w:rPr>
      <w:rFonts w:ascii="Times New Roman" w:hAnsi="Times New Roman" w:cs="Times New Roman"/>
      <w:b/>
      <w:bCs/>
      <w:sz w:val="20"/>
      <w:szCs w:val="20"/>
    </w:rPr>
  </w:style>
  <w:style w:type="paragraph" w:styleId="Header">
    <w:name w:val="header"/>
    <w:basedOn w:val="Normal"/>
    <w:link w:val="HeaderChar"/>
    <w:uiPriority w:val="99"/>
    <w:rsid w:val="00B40407"/>
    <w:pPr>
      <w:tabs>
        <w:tab w:val="center" w:pos="4320"/>
        <w:tab w:val="right" w:pos="8640"/>
      </w:tabs>
      <w:autoSpaceDE w:val="0"/>
      <w:autoSpaceDN w:val="0"/>
      <w:adjustRightInd w:val="0"/>
      <w:spacing w:after="0"/>
    </w:pPr>
    <w:rPr>
      <w:rFonts w:eastAsia="Times New Roman"/>
      <w:sz w:val="20"/>
      <w:szCs w:val="20"/>
    </w:rPr>
  </w:style>
  <w:style w:type="character" w:customStyle="1" w:styleId="HeaderChar">
    <w:name w:val="Header Char"/>
    <w:basedOn w:val="DefaultParagraphFont"/>
    <w:link w:val="Header"/>
    <w:uiPriority w:val="99"/>
    <w:rsid w:val="00B40407"/>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52450F"/>
    <w:rPr>
      <w:sz w:val="16"/>
      <w:szCs w:val="16"/>
    </w:rPr>
  </w:style>
  <w:style w:type="paragraph" w:styleId="CommentText">
    <w:name w:val="annotation text"/>
    <w:basedOn w:val="Normal"/>
    <w:link w:val="CommentTextChar"/>
    <w:uiPriority w:val="99"/>
    <w:semiHidden/>
    <w:unhideWhenUsed/>
    <w:rsid w:val="0052450F"/>
    <w:rPr>
      <w:sz w:val="20"/>
      <w:szCs w:val="20"/>
    </w:rPr>
  </w:style>
  <w:style w:type="character" w:customStyle="1" w:styleId="CommentTextChar">
    <w:name w:val="Comment Text Char"/>
    <w:basedOn w:val="DefaultParagraphFont"/>
    <w:link w:val="CommentText"/>
    <w:uiPriority w:val="99"/>
    <w:semiHidden/>
    <w:rsid w:val="0052450F"/>
    <w:rPr>
      <w:rFonts w:cs="Cambria"/>
      <w:sz w:val="20"/>
      <w:szCs w:val="20"/>
    </w:rPr>
  </w:style>
  <w:style w:type="paragraph" w:styleId="CommentSubject">
    <w:name w:val="annotation subject"/>
    <w:basedOn w:val="CommentText"/>
    <w:next w:val="CommentText"/>
    <w:link w:val="CommentSubjectChar"/>
    <w:uiPriority w:val="99"/>
    <w:semiHidden/>
    <w:unhideWhenUsed/>
    <w:rsid w:val="0052450F"/>
    <w:rPr>
      <w:b/>
      <w:bCs/>
    </w:rPr>
  </w:style>
  <w:style w:type="character" w:customStyle="1" w:styleId="CommentSubjectChar">
    <w:name w:val="Comment Subject Char"/>
    <w:basedOn w:val="CommentTextChar"/>
    <w:link w:val="CommentSubject"/>
    <w:uiPriority w:val="99"/>
    <w:semiHidden/>
    <w:rsid w:val="0052450F"/>
    <w:rPr>
      <w:rFonts w:cs="Cambria"/>
      <w:b/>
      <w:bCs/>
      <w:sz w:val="20"/>
      <w:szCs w:val="20"/>
    </w:rPr>
  </w:style>
  <w:style w:type="paragraph" w:styleId="BalloonText">
    <w:name w:val="Balloon Text"/>
    <w:basedOn w:val="Normal"/>
    <w:link w:val="BalloonTextChar"/>
    <w:uiPriority w:val="99"/>
    <w:semiHidden/>
    <w:unhideWhenUsed/>
    <w:rsid w:val="0052450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50F"/>
    <w:rPr>
      <w:rFonts w:ascii="Tahoma" w:hAnsi="Tahoma" w:cs="Tahoma"/>
      <w:sz w:val="16"/>
      <w:szCs w:val="16"/>
    </w:rPr>
  </w:style>
  <w:style w:type="paragraph" w:styleId="ListParagraph">
    <w:name w:val="List Paragraph"/>
    <w:basedOn w:val="Normal"/>
    <w:uiPriority w:val="34"/>
    <w:qFormat/>
    <w:rsid w:val="001B49CB"/>
    <w:pPr>
      <w:ind w:left="720"/>
      <w:contextualSpacing/>
    </w:pPr>
  </w:style>
  <w:style w:type="paragraph" w:styleId="Footer">
    <w:name w:val="footer"/>
    <w:basedOn w:val="Normal"/>
    <w:link w:val="FooterChar"/>
    <w:uiPriority w:val="99"/>
    <w:unhideWhenUsed/>
    <w:rsid w:val="007C004F"/>
    <w:pPr>
      <w:tabs>
        <w:tab w:val="center" w:pos="4680"/>
        <w:tab w:val="right" w:pos="9360"/>
      </w:tabs>
      <w:spacing w:after="0"/>
    </w:pPr>
  </w:style>
  <w:style w:type="character" w:customStyle="1" w:styleId="FooterChar">
    <w:name w:val="Footer Char"/>
    <w:basedOn w:val="DefaultParagraphFont"/>
    <w:link w:val="Footer"/>
    <w:uiPriority w:val="99"/>
    <w:rsid w:val="007C004F"/>
    <w:rPr>
      <w:rFonts w:cs="Cambr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407"/>
    <w:pPr>
      <w:spacing w:after="200"/>
    </w:pPr>
    <w:rPr>
      <w:rFonts w:cs="Cambria"/>
      <w:sz w:val="24"/>
      <w:szCs w:val="24"/>
    </w:rPr>
  </w:style>
  <w:style w:type="paragraph" w:styleId="Heading1">
    <w:name w:val="heading 1"/>
    <w:basedOn w:val="Normal"/>
    <w:next w:val="Normal"/>
    <w:link w:val="Heading1Char"/>
    <w:uiPriority w:val="99"/>
    <w:qFormat/>
    <w:rsid w:val="00B40407"/>
    <w:pPr>
      <w:keepNext/>
      <w:autoSpaceDE w:val="0"/>
      <w:autoSpaceDN w:val="0"/>
      <w:adjustRightInd w:val="0"/>
      <w:spacing w:after="0"/>
      <w:outlineLvl w:val="0"/>
    </w:pPr>
    <w:rPr>
      <w:rFonts w:eastAsia="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40407"/>
    <w:rPr>
      <w:rFonts w:ascii="Times New Roman" w:hAnsi="Times New Roman" w:cs="Times New Roman"/>
      <w:b/>
      <w:bCs/>
      <w:sz w:val="20"/>
      <w:szCs w:val="20"/>
    </w:rPr>
  </w:style>
  <w:style w:type="paragraph" w:styleId="Header">
    <w:name w:val="header"/>
    <w:basedOn w:val="Normal"/>
    <w:link w:val="HeaderChar"/>
    <w:uiPriority w:val="99"/>
    <w:rsid w:val="00B40407"/>
    <w:pPr>
      <w:tabs>
        <w:tab w:val="center" w:pos="4320"/>
        <w:tab w:val="right" w:pos="8640"/>
      </w:tabs>
      <w:autoSpaceDE w:val="0"/>
      <w:autoSpaceDN w:val="0"/>
      <w:adjustRightInd w:val="0"/>
      <w:spacing w:after="0"/>
    </w:pPr>
    <w:rPr>
      <w:rFonts w:eastAsia="Times New Roman"/>
      <w:sz w:val="20"/>
      <w:szCs w:val="20"/>
    </w:rPr>
  </w:style>
  <w:style w:type="character" w:customStyle="1" w:styleId="HeaderChar">
    <w:name w:val="Header Char"/>
    <w:basedOn w:val="DefaultParagraphFont"/>
    <w:link w:val="Header"/>
    <w:uiPriority w:val="99"/>
    <w:rsid w:val="00B40407"/>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52450F"/>
    <w:rPr>
      <w:sz w:val="16"/>
      <w:szCs w:val="16"/>
    </w:rPr>
  </w:style>
  <w:style w:type="paragraph" w:styleId="CommentText">
    <w:name w:val="annotation text"/>
    <w:basedOn w:val="Normal"/>
    <w:link w:val="CommentTextChar"/>
    <w:uiPriority w:val="99"/>
    <w:semiHidden/>
    <w:unhideWhenUsed/>
    <w:rsid w:val="0052450F"/>
    <w:rPr>
      <w:sz w:val="20"/>
      <w:szCs w:val="20"/>
    </w:rPr>
  </w:style>
  <w:style w:type="character" w:customStyle="1" w:styleId="CommentTextChar">
    <w:name w:val="Comment Text Char"/>
    <w:basedOn w:val="DefaultParagraphFont"/>
    <w:link w:val="CommentText"/>
    <w:uiPriority w:val="99"/>
    <w:semiHidden/>
    <w:rsid w:val="0052450F"/>
    <w:rPr>
      <w:rFonts w:cs="Cambria"/>
      <w:sz w:val="20"/>
      <w:szCs w:val="20"/>
    </w:rPr>
  </w:style>
  <w:style w:type="paragraph" w:styleId="CommentSubject">
    <w:name w:val="annotation subject"/>
    <w:basedOn w:val="CommentText"/>
    <w:next w:val="CommentText"/>
    <w:link w:val="CommentSubjectChar"/>
    <w:uiPriority w:val="99"/>
    <w:semiHidden/>
    <w:unhideWhenUsed/>
    <w:rsid w:val="0052450F"/>
    <w:rPr>
      <w:b/>
      <w:bCs/>
    </w:rPr>
  </w:style>
  <w:style w:type="character" w:customStyle="1" w:styleId="CommentSubjectChar">
    <w:name w:val="Comment Subject Char"/>
    <w:basedOn w:val="CommentTextChar"/>
    <w:link w:val="CommentSubject"/>
    <w:uiPriority w:val="99"/>
    <w:semiHidden/>
    <w:rsid w:val="0052450F"/>
    <w:rPr>
      <w:rFonts w:cs="Cambria"/>
      <w:b/>
      <w:bCs/>
      <w:sz w:val="20"/>
      <w:szCs w:val="20"/>
    </w:rPr>
  </w:style>
  <w:style w:type="paragraph" w:styleId="BalloonText">
    <w:name w:val="Balloon Text"/>
    <w:basedOn w:val="Normal"/>
    <w:link w:val="BalloonTextChar"/>
    <w:uiPriority w:val="99"/>
    <w:semiHidden/>
    <w:unhideWhenUsed/>
    <w:rsid w:val="0052450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50F"/>
    <w:rPr>
      <w:rFonts w:ascii="Tahoma" w:hAnsi="Tahoma" w:cs="Tahoma"/>
      <w:sz w:val="16"/>
      <w:szCs w:val="16"/>
    </w:rPr>
  </w:style>
  <w:style w:type="paragraph" w:styleId="ListParagraph">
    <w:name w:val="List Paragraph"/>
    <w:basedOn w:val="Normal"/>
    <w:uiPriority w:val="34"/>
    <w:qFormat/>
    <w:rsid w:val="001B49CB"/>
    <w:pPr>
      <w:ind w:left="720"/>
      <w:contextualSpacing/>
    </w:pPr>
  </w:style>
  <w:style w:type="paragraph" w:styleId="Footer">
    <w:name w:val="footer"/>
    <w:basedOn w:val="Normal"/>
    <w:link w:val="FooterChar"/>
    <w:uiPriority w:val="99"/>
    <w:unhideWhenUsed/>
    <w:rsid w:val="007C004F"/>
    <w:pPr>
      <w:tabs>
        <w:tab w:val="center" w:pos="4680"/>
        <w:tab w:val="right" w:pos="9360"/>
      </w:tabs>
      <w:spacing w:after="0"/>
    </w:pPr>
  </w:style>
  <w:style w:type="character" w:customStyle="1" w:styleId="FooterChar">
    <w:name w:val="Footer Char"/>
    <w:basedOn w:val="DefaultParagraphFont"/>
    <w:link w:val="Footer"/>
    <w:uiPriority w:val="99"/>
    <w:rsid w:val="007C004F"/>
    <w:rPr>
      <w:rFonts w:cs="Cambria"/>
      <w:sz w:val="24"/>
      <w:szCs w:val="24"/>
    </w:rPr>
  </w:style>
</w:styles>
</file>

<file path=word/webSettings.xml><?xml version="1.0" encoding="utf-8"?>
<w:webSettings xmlns:r="http://schemas.openxmlformats.org/officeDocument/2006/relationships" xmlns:w="http://schemas.openxmlformats.org/wordprocessingml/2006/main">
  <w:divs>
    <w:div w:id="31916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4732C-0E94-4377-9E7C-B5FF2347E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ETAP Project Charter</vt:lpstr>
    </vt:vector>
  </TitlesOfParts>
  <Company>Hoyle Consulting Inc.</Company>
  <LinksUpToDate>false</LinksUpToDate>
  <CharactersWithSpaces>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 Project Charter</dc:title>
  <dc:creator>Therese Hoyle</dc:creator>
  <cp:lastModifiedBy>bbrand</cp:lastModifiedBy>
  <cp:revision>4</cp:revision>
  <cp:lastPrinted>2013-01-09T13:44:00Z</cp:lastPrinted>
  <dcterms:created xsi:type="dcterms:W3CDTF">2012-12-14T16:03:00Z</dcterms:created>
  <dcterms:modified xsi:type="dcterms:W3CDTF">2013-01-09T14:42:00Z</dcterms:modified>
</cp:coreProperties>
</file>