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Security, Privacy &amp; Professional Standards</w:t>
      </w:r>
    </w:p>
    <w:p>
      <w:r>
        <w:rPr>
          <w:b/>
          <w:sz w:val="28"/>
        </w:rPr>
        <w:t>Our Approach</w:t>
      </w:r>
    </w:p>
    <w:p>
      <w:r>
        <w:t>Client confidentiality and information security are fundamental to the way we operate.</w:t>
      </w:r>
    </w:p>
    <w:p>
      <w:r>
        <w:t>Our systems are built around recognised professional best practices, with a focus on secure information handling, controlled access and clear accountability across every client engagement.</w:t>
      </w:r>
    </w:p>
    <w:p>
      <w:pPr>
        <w:pStyle w:val="ListBullet"/>
      </w:pPr>
      <w:r>
        <w:t>Secure client onboarding and document handling</w:t>
      </w:r>
    </w:p>
    <w:p>
      <w:pPr>
        <w:pStyle w:val="ListBullet"/>
      </w:pPr>
      <w:r>
        <w:t>Controlled access to sensitive information</w:t>
      </w:r>
    </w:p>
    <w:p>
      <w:pPr>
        <w:pStyle w:val="ListBullet"/>
      </w:pPr>
      <w:r>
        <w:t>Professional document management and storage</w:t>
      </w:r>
    </w:p>
    <w:p>
      <w:pPr>
        <w:pStyle w:val="ListBullet"/>
      </w:pPr>
      <w:r>
        <w:t>Secure communication and information sharing</w:t>
      </w:r>
    </w:p>
    <w:p>
      <w:pPr>
        <w:pStyle w:val="ListBullet"/>
      </w:pPr>
      <w:r>
        <w:t>Structured case management and accountability</w:t>
      </w:r>
    </w:p>
    <w:p>
      <w:pPr>
        <w:pStyle w:val="ListBullet"/>
      </w:pPr>
      <w:r>
        <w:t>Strong data protection and privacy practices</w:t>
      </w:r>
    </w:p>
    <w:p>
      <w:r>
        <w:t>Where specialist legal, immigration, accounting or technology services are required, we work with appropriately qualified professional organisations and service providers.</w:t>
      </w:r>
    </w:p>
    <w:p>
      <w:r>
        <w:rPr>
          <w:b/>
        </w:rPr>
        <w:t>Our objective is simple: protect client information, maintain professional standards and provide a secure, structured environment for every engagement.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