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Citizenship &amp; Residency by Investment</w:t>
      </w:r>
    </w:p>
    <w:p>
      <w:pPr>
        <w:jc w:val="center"/>
      </w:pPr>
      <w:r>
        <w:rPr>
          <w:i/>
          <w:sz w:val="20"/>
        </w:rPr>
        <w:t>Website Content – Initial Draft</w:t>
      </w:r>
    </w:p>
    <w:p>
      <w:pPr>
        <w:pStyle w:val="Heading1"/>
      </w:pPr>
      <w:r>
        <w:t>Citizenship by Investment (CBI)</w:t>
      </w:r>
    </w:p>
    <w:p>
      <w:r>
        <w:rPr>
          <w:b/>
        </w:rPr>
        <w:t>Caribbean Citizenship by Investment</w:t>
      </w:r>
    </w:p>
    <w:p>
      <w:r>
        <w:t>The Caribbean offers established Citizenship by Investment programs for qualifying individuals and families. Depending on the country, applicants may qualify through a government contribution, approved real estate or other permitted investment routes. Each program has its own eligibility, due-diligence and processing requirements. We assess your objectives and profile before recommending the most appropriate option.</w:t>
      </w:r>
    </w:p>
    <w:p>
      <w:pPr>
        <w:pStyle w:val="ListBullet"/>
      </w:pPr>
      <w:r>
        <w:rPr>
          <w:b/>
        </w:rPr>
        <w:t xml:space="preserve">Antigua &amp; Barbuda – </w:t>
      </w:r>
      <w:r>
        <w:t>Qualifying contribution, approved real estate and other permitted routes.</w:t>
      </w:r>
    </w:p>
    <w:p>
      <w:pPr>
        <w:pStyle w:val="ListBullet"/>
      </w:pPr>
      <w:r>
        <w:rPr>
          <w:b/>
        </w:rPr>
        <w:t xml:space="preserve">Dominica – </w:t>
      </w:r>
      <w:r>
        <w:t>Established program with contribution and approved real estate options.</w:t>
      </w:r>
    </w:p>
    <w:p>
      <w:pPr>
        <w:pStyle w:val="ListBullet"/>
      </w:pPr>
      <w:r>
        <w:rPr>
          <w:b/>
        </w:rPr>
        <w:t xml:space="preserve">Grenada – </w:t>
      </w:r>
      <w:r>
        <w:t>Qualifying contribution and approved investment routes.</w:t>
      </w:r>
    </w:p>
    <w:p>
      <w:pPr>
        <w:pStyle w:val="ListBullet"/>
      </w:pPr>
      <w:r>
        <w:rPr>
          <w:b/>
        </w:rPr>
        <w:t xml:space="preserve">St. Kitts &amp; Nevis – </w:t>
      </w:r>
      <w:r>
        <w:t>One of the Caribbean’s longest-established investment citizenship programs.</w:t>
      </w:r>
    </w:p>
    <w:p>
      <w:pPr>
        <w:pStyle w:val="ListBullet"/>
      </w:pPr>
      <w:r>
        <w:rPr>
          <w:b/>
        </w:rPr>
        <w:t xml:space="preserve">Saint Lucia – </w:t>
      </w:r>
      <w:r>
        <w:t>Qualifying contribution, approved investments and other permitted routes.</w:t>
      </w:r>
    </w:p>
    <w:p>
      <w:r>
        <w:rPr>
          <w:b/>
        </w:rPr>
        <w:t>Other CBI Opportunities</w:t>
      </w:r>
      <w:r>
        <w:t xml:space="preserve"> Citizenship-by-investment options outside the Caribbean are more limited and subject to changing government policies. Where available, we provide guidance on current eligibility, investment routes and due diligence.</w:t>
      </w:r>
    </w:p>
    <w:p>
      <w:pPr>
        <w:pStyle w:val="Heading1"/>
      </w:pPr>
      <w:r>
        <w:t>Residency by Investment (RBI)</w:t>
      </w:r>
    </w:p>
    <w:p>
      <w:r>
        <w:rPr>
          <w:b/>
        </w:rPr>
        <w:t>Portugal Golden Visa</w:t>
      </w:r>
      <w:r>
        <w:t xml:space="preserve"> – A European residence-by-investment route through qualifying investment options, suited to investors seeking long-term European residency flexibility.</w:t>
      </w:r>
    </w:p>
    <w:p>
      <w:r>
        <w:rPr>
          <w:b/>
        </w:rPr>
        <w:t>UAE Golden Visa</w:t>
      </w:r>
      <w:r>
        <w:t xml:space="preserve"> – Long-term UAE residence for qualifying investors, entrepreneurs, professionals and other eligible categories.</w:t>
      </w:r>
    </w:p>
    <w:p>
      <w:r>
        <w:rPr>
          <w:b/>
        </w:rPr>
        <w:t>Greece Golden Visa</w:t>
      </w:r>
      <w:r>
        <w:t xml:space="preserve"> – Residence through qualifying investment, including permitted real estate routes. Requirements vary by location and investment type.</w:t>
      </w:r>
    </w:p>
    <w:p>
      <w:r>
        <w:rPr>
          <w:b/>
        </w:rPr>
        <w:t>Malta Permanent Residence</w:t>
      </w:r>
      <w:r>
        <w:t xml:space="preserve"> – A permanent residence framework combining qualifying property, government contributions and other eligibility requirements.</w:t>
      </w:r>
    </w:p>
    <w:p>
      <w:r>
        <w:t>Program requirements, investment thresholds and qualifying routes may change. Detailed eligibility, investment options, costs, documentation and timelines are provided during the consultation and assessment stage.</w:t>
      </w:r>
    </w:p>
    <w:p>
      <w:pPr>
        <w:pStyle w:val="Heading1"/>
      </w:pPr>
      <w:r>
        <w:t>Website Positioning Note</w:t>
      </w:r>
    </w:p>
    <w:p>
      <w:r>
        <w:t>The website should keep program descriptions concise. Detailed investment amounts, documentation, eligibility analysis and process steps can be provided after an initial client enquiry and profile assessment.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