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Canada Market Entry &amp; Business Expansion</w:t>
      </w:r>
    </w:p>
    <w:p>
      <w:pPr>
        <w:jc w:val="left"/>
      </w:pPr>
      <w:r>
        <w:rPr>
          <w:b/>
          <w:sz w:val="26"/>
        </w:rPr>
        <w:t>Your business. Your Canadian opportunity. One coordinated pathway.</w:t>
      </w:r>
    </w:p>
    <w:p>
      <w:r>
        <w:t>Expanding into Canada requires more than establishing a company. It requires the right strategy, structure, market knowledge and local support.</w:t>
      </w:r>
    </w:p>
    <w:p>
      <w:r>
        <w:t>We help international businesses establish, enter and grow in Canada by coordinating the key professional, commercial and operational requirements involved in a successful market entry.</w:t>
      </w:r>
    </w:p>
    <w:p>
      <w:pPr>
        <w:pStyle w:val="Heading1"/>
      </w:pPr>
      <w:r>
        <w:t>Our Services</w:t>
      </w:r>
    </w:p>
    <w:p>
      <w:pPr>
        <w:pStyle w:val="Heading2"/>
      </w:pPr>
      <w:r>
        <w:t>Market Entry Strategy</w:t>
      </w:r>
    </w:p>
    <w:p>
      <w:pPr>
        <w:pStyle w:val="ListBullet"/>
        <w:spacing w:after="40"/>
      </w:pPr>
      <w:r>
        <w:t>Canadian market and industry assessment</w:t>
      </w:r>
    </w:p>
    <w:p>
      <w:pPr>
        <w:pStyle w:val="ListBullet"/>
        <w:spacing w:after="40"/>
      </w:pPr>
      <w:r>
        <w:t>Market-entry strategy</w:t>
      </w:r>
    </w:p>
    <w:p>
      <w:pPr>
        <w:pStyle w:val="ListBullet"/>
        <w:spacing w:after="40"/>
      </w:pPr>
      <w:r>
        <w:t>Provincial and regional considerations</w:t>
      </w:r>
    </w:p>
    <w:p>
      <w:pPr>
        <w:pStyle w:val="ListBullet"/>
        <w:spacing w:after="40"/>
      </w:pPr>
      <w:r>
        <w:t>Go-to-market planning</w:t>
      </w:r>
    </w:p>
    <w:p>
      <w:pPr>
        <w:pStyle w:val="ListBullet"/>
        <w:spacing w:after="40"/>
      </w:pPr>
      <w:r>
        <w:t>Business model and positioning</w:t>
      </w:r>
    </w:p>
    <w:p>
      <w:pPr>
        <w:pStyle w:val="Heading2"/>
      </w:pPr>
      <w:r>
        <w:t>Business Establishment</w:t>
      </w:r>
    </w:p>
    <w:p>
      <w:pPr>
        <w:pStyle w:val="ListBullet"/>
        <w:spacing w:after="40"/>
      </w:pPr>
      <w:r>
        <w:t>Company incorporation and corporate structuring</w:t>
      </w:r>
    </w:p>
    <w:p>
      <w:pPr>
        <w:pStyle w:val="ListBullet"/>
        <w:spacing w:after="40"/>
      </w:pPr>
      <w:r>
        <w:t>Business and tax registrations</w:t>
      </w:r>
    </w:p>
    <w:p>
      <w:pPr>
        <w:pStyle w:val="ListBullet"/>
        <w:spacing w:after="40"/>
      </w:pPr>
      <w:r>
        <w:t>GST/HST registration</w:t>
      </w:r>
    </w:p>
    <w:p>
      <w:pPr>
        <w:pStyle w:val="ListBullet"/>
        <w:spacing w:after="40"/>
      </w:pPr>
      <w:r>
        <w:t>Banking and business address solutions</w:t>
      </w:r>
    </w:p>
    <w:p>
      <w:pPr>
        <w:pStyle w:val="ListBullet"/>
        <w:spacing w:after="40"/>
      </w:pPr>
      <w:r>
        <w:t>Licensing and regulatory coordination</w:t>
      </w:r>
    </w:p>
    <w:p>
      <w:pPr>
        <w:pStyle w:val="ListBullet"/>
        <w:spacing w:after="40"/>
      </w:pPr>
      <w:r>
        <w:t>Import/export setup</w:t>
      </w:r>
    </w:p>
    <w:p>
      <w:pPr>
        <w:pStyle w:val="Heading2"/>
      </w:pPr>
      <w:r>
        <w:t>Commercial Market Access</w:t>
      </w:r>
    </w:p>
    <w:p>
      <w:pPr>
        <w:pStyle w:val="ListBullet"/>
        <w:spacing w:after="40"/>
      </w:pPr>
      <w:r>
        <w:t>Customer and partner identification</w:t>
      </w:r>
    </w:p>
    <w:p>
      <w:pPr>
        <w:pStyle w:val="ListBullet"/>
        <w:spacing w:after="40"/>
      </w:pPr>
      <w:r>
        <w:t>Business development</w:t>
      </w:r>
    </w:p>
    <w:p>
      <w:pPr>
        <w:pStyle w:val="ListBullet"/>
        <w:spacing w:after="40"/>
      </w:pPr>
      <w:r>
        <w:t>Distributor and reseller opportunities</w:t>
      </w:r>
    </w:p>
    <w:p>
      <w:pPr>
        <w:pStyle w:val="ListBullet"/>
        <w:spacing w:after="40"/>
      </w:pPr>
      <w:r>
        <w:t>Strategic partnerships</w:t>
      </w:r>
    </w:p>
    <w:p>
      <w:pPr>
        <w:pStyle w:val="ListBullet"/>
        <w:spacing w:after="40"/>
      </w:pPr>
      <w:r>
        <w:t>Supplier and professional-network introductions</w:t>
      </w:r>
    </w:p>
    <w:p>
      <w:pPr>
        <w:pStyle w:val="ListBullet"/>
        <w:spacing w:after="40"/>
      </w:pPr>
      <w:r>
        <w:t>Local market representation</w:t>
      </w:r>
    </w:p>
    <w:p>
      <w:pPr>
        <w:pStyle w:val="Heading2"/>
      </w:pPr>
      <w:r>
        <w:t>Finance, Tax &amp; Compliance</w:t>
      </w:r>
    </w:p>
    <w:p>
      <w:pPr>
        <w:pStyle w:val="ListBullet"/>
        <w:spacing w:after="40"/>
      </w:pPr>
      <w:r>
        <w:t>Accounting and bookkeeping coordination</w:t>
      </w:r>
    </w:p>
    <w:p>
      <w:pPr>
        <w:pStyle w:val="ListBullet"/>
        <w:spacing w:after="40"/>
      </w:pPr>
      <w:r>
        <w:t>Tax and GST/HST compliance</w:t>
      </w:r>
    </w:p>
    <w:p>
      <w:pPr>
        <w:pStyle w:val="ListBullet"/>
        <w:spacing w:after="40"/>
      </w:pPr>
      <w:r>
        <w:t>Payroll setup</w:t>
      </w:r>
    </w:p>
    <w:p>
      <w:pPr>
        <w:pStyle w:val="ListBullet"/>
        <w:spacing w:after="40"/>
      </w:pPr>
      <w:r>
        <w:t>Corporate compliance</w:t>
      </w:r>
    </w:p>
    <w:p>
      <w:pPr>
        <w:pStyle w:val="ListBullet"/>
        <w:spacing w:after="40"/>
      </w:pPr>
      <w:r>
        <w:t>Cross-border tax coordination</w:t>
      </w:r>
    </w:p>
    <w:p>
      <w:pPr>
        <w:pStyle w:val="ListBullet"/>
        <w:spacing w:after="40"/>
      </w:pPr>
      <w:r>
        <w:t>Financial administration</w:t>
      </w:r>
    </w:p>
    <w:p>
      <w:pPr>
        <w:pStyle w:val="Heading2"/>
      </w:pPr>
      <w:r>
        <w:t>People, Immigration &amp; Global Mobility</w:t>
      </w:r>
    </w:p>
    <w:p>
      <w:pPr>
        <w:pStyle w:val="ListBullet"/>
        <w:spacing w:after="40"/>
      </w:pPr>
      <w:r>
        <w:t>Business immigration strategy</w:t>
      </w:r>
    </w:p>
    <w:p>
      <w:pPr>
        <w:pStyle w:val="ListBullet"/>
        <w:spacing w:after="40"/>
      </w:pPr>
      <w:r>
        <w:t>Work permit pathways</w:t>
      </w:r>
    </w:p>
    <w:p>
      <w:pPr>
        <w:pStyle w:val="ListBullet"/>
        <w:spacing w:after="40"/>
      </w:pPr>
      <w:r>
        <w:t>Executive and key-person mobility</w:t>
      </w:r>
    </w:p>
    <w:p>
      <w:pPr>
        <w:pStyle w:val="ListBullet"/>
        <w:spacing w:after="40"/>
      </w:pPr>
      <w:r>
        <w:t>International recruitment</w:t>
      </w:r>
    </w:p>
    <w:p>
      <w:pPr>
        <w:pStyle w:val="ListBullet"/>
        <w:spacing w:after="40"/>
      </w:pPr>
      <w:r>
        <w:t>Employee relocation</w:t>
      </w:r>
    </w:p>
    <w:p>
      <w:pPr>
        <w:pStyle w:val="ListBullet"/>
        <w:spacing w:after="40"/>
      </w:pPr>
      <w:r>
        <w:t>Permanent residence planning</w:t>
      </w:r>
    </w:p>
    <w:p>
      <w:pPr>
        <w:pStyle w:val="Heading2"/>
      </w:pPr>
      <w:r>
        <w:t>Operational &amp; Local Support</w:t>
      </w:r>
    </w:p>
    <w:p>
      <w:pPr>
        <w:pStyle w:val="ListBullet"/>
        <w:spacing w:after="40"/>
      </w:pPr>
      <w:r>
        <w:t>Local administrative support</w:t>
      </w:r>
    </w:p>
    <w:p>
      <w:pPr>
        <w:pStyle w:val="ListBullet"/>
        <w:spacing w:after="40"/>
      </w:pPr>
      <w:r>
        <w:t>Canadian business address solutions</w:t>
      </w:r>
    </w:p>
    <w:p>
      <w:pPr>
        <w:pStyle w:val="ListBullet"/>
        <w:spacing w:after="40"/>
      </w:pPr>
      <w:r>
        <w:t>Vendor and service-provider coordination</w:t>
      </w:r>
    </w:p>
    <w:p>
      <w:pPr>
        <w:pStyle w:val="ListBullet"/>
        <w:spacing w:after="40"/>
      </w:pPr>
      <w:r>
        <w:t>HR and payroll support</w:t>
      </w:r>
    </w:p>
    <w:p>
      <w:pPr>
        <w:pStyle w:val="ListBullet"/>
        <w:spacing w:after="40"/>
      </w:pPr>
      <w:r>
        <w:t>Operational administration</w:t>
      </w:r>
    </w:p>
    <w:p>
      <w:pPr>
        <w:pStyle w:val="ListBullet"/>
        <w:spacing w:after="40"/>
      </w:pPr>
      <w:r>
        <w:t>Ongoing business support</w:t>
      </w:r>
    </w:p>
    <w:p>
      <w:pPr>
        <w:pStyle w:val="Heading1"/>
      </w:pPr>
      <w:r>
        <w:t>From Market Entry to Market Growth</w:t>
      </w:r>
    </w:p>
    <w:p>
      <w:r>
        <w:t>Our role doesn't end when your Canadian company is incorporated. We can continue to coordinate the professional, operational and commercial resources required as your business develops — from your initial launch through expansion and long-term growth.</w:t>
      </w:r>
    </w:p>
    <w:p>
      <w:pPr>
        <w:jc w:val="center"/>
      </w:pPr>
      <w:r>
        <w:rPr>
          <w:b/>
        </w:rPr>
        <w:t>Strategy  →  Establishment  →  Market Access  →  Operations  →  Growth</w:t>
      </w:r>
    </w:p>
    <w:p>
      <w:pPr>
        <w:pStyle w:val="Heading1"/>
      </w:pPr>
      <w:r>
        <w:t>One Coordinated Point of Contact</w:t>
      </w:r>
    </w:p>
    <w:p>
      <w:r>
        <w:t>International expansion can involve lawyers, accountants, immigration professionals, recruiters, corporate service providers and other specialists.</w:t>
      </w:r>
    </w:p>
    <w:p>
      <w:r>
        <w:t>We help bring these requirements together into a coordinated pathway, giving you a clearer view of what needs to happen, when it needs to happen and who should handle it.</w:t>
      </w:r>
    </w:p>
    <w:p>
      <w:pPr>
        <w:jc w:val="center"/>
      </w:pPr>
      <w:r>
        <w:rPr>
          <w:b/>
        </w:rPr>
        <w:t>One strategy.  One coordinated pathway.  The right Canadian resources.</w:t>
      </w:r>
    </w:p>
    <w:p>
      <w:pPr>
        <w:pStyle w:val="Heading1"/>
      </w:pPr>
      <w:r>
        <w:t>Who We Support</w:t>
      </w:r>
    </w:p>
    <w:p>
      <w:r>
        <w:t>International Entrepreneurs  |  Start-ups  |  SMEs  |  Established Companies  |  Investors  |  Professional Firms  |  Technology Businesses  |  Manufacturers &amp; Exporters</w:t>
      </w:r>
    </w:p>
    <w:p>
      <w:pPr>
        <w:pStyle w:val="Heading1"/>
      </w:pPr>
      <w:r>
        <w:t>Start Your Canadian Expansion</w:t>
      </w:r>
    </w:p>
    <w:p>
      <w:r>
        <w:t>Tell us about your business, your objectives and your plans for Canada. We will help you determine the right path forward.</w:t>
      </w:r>
    </w:p>
    <w:p>
      <w:pPr>
        <w:jc w:val="center"/>
      </w:pPr>
      <w:r>
        <w:rPr>
          <w:b/>
          <w:sz w:val="24"/>
        </w:rPr>
        <w:t>BOOK A CONFIDENTIAL CONSULTATION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Cynosure Global Advisory  |  Canada Market Entry &amp; Business Expansion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CYNOSURE GLOBAL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