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CYNOSURE GLOBAL RESIDENCY</w:t>
      </w:r>
    </w:p>
    <w:p>
      <w:pPr>
        <w:pStyle w:val="Title"/>
        <w:jc w:val="center"/>
      </w:pPr>
      <w:r>
        <w:t>Website Layout Pattern</w:t>
      </w:r>
    </w:p>
    <w:p>
      <w:pPr>
        <w:jc w:val="center"/>
      </w:pPr>
      <w:r>
        <w:rPr>
          <w:i/>
        </w:rPr>
        <w:t>Recommended information architecture for a clear, premium Global Mobility positioning</w:t>
      </w:r>
    </w:p>
    <w:p>
      <w:pPr>
        <w:pStyle w:val="Heading1"/>
      </w:pPr>
      <w:r>
        <w:t>Core Positioning</w:t>
      </w:r>
    </w:p>
    <w:p>
      <w:r>
        <w:t>Cynosure Global Residency should be presented as a Global Mobility Advisory firm—not as separate immigration, investment-migration and recruitment businesses.</w:t>
      </w:r>
    </w:p>
    <w:p>
      <w:r>
        <w:rPr>
          <w:b/>
        </w:rPr>
        <w:t xml:space="preserve">Core idea: </w:t>
      </w:r>
      <w:r>
        <w:t>International Mobility</w:t>
      </w:r>
    </w:p>
    <w:p>
      <w:pPr>
        <w:pStyle w:val="Heading1"/>
      </w:pPr>
      <w:r>
        <w:t>Homepage Structure</w:t>
      </w:r>
    </w:p>
    <w:p>
      <w:r>
        <w:t>CYNOSURE GLOBAL RESIDENCY</w:t>
      </w:r>
    </w:p>
    <w:p>
      <w:r>
        <w:rPr>
          <w:b/>
        </w:rPr>
        <w:t>International Mobility. Strategic. Personalised. Global.</w:t>
      </w:r>
    </w:p>
    <w:p>
      <w:r>
        <w:t>For over two decades, we have helped individuals, families, professionals and businesses navigate international mobility—from investment and business migration to immigration and global workforce solutions.</w:t>
      </w:r>
    </w:p>
    <w:p>
      <w:pPr>
        <w:pStyle w:val="Heading1"/>
      </w:pPr>
      <w:r>
        <w:t>Three Primary Pillars</w:t>
      </w:r>
    </w:p>
    <w:p>
      <w:r>
        <w:rPr>
          <w:b/>
        </w:rPr>
        <w:t>1. Investment &amp; Business Migration</w:t>
      </w:r>
    </w:p>
    <w:p>
      <w:r>
        <w:t>For investors, entrepreneurs and business families.</w:t>
      </w:r>
    </w:p>
    <w:p>
      <w:r>
        <w:rPr>
          <w:i/>
        </w:rPr>
        <w:t>CBI &amp; RBI | Business Migration | Investment-led Residency</w:t>
      </w:r>
    </w:p>
    <w:p>
      <w:r>
        <w:rPr>
          <w:b/>
        </w:rPr>
        <w:t>2. Global Immigration</w:t>
      </w:r>
    </w:p>
    <w:p>
      <w:r>
        <w:t>For individuals, families and professionals.</w:t>
      </w:r>
    </w:p>
    <w:p>
      <w:r>
        <w:rPr>
          <w:i/>
        </w:rPr>
        <w:t>Canada | Australia | New Zealand | Selected Global Destinations</w:t>
      </w:r>
    </w:p>
    <w:p>
      <w:r>
        <w:rPr>
          <w:b/>
        </w:rPr>
        <w:t>3. International Workforce Mobility</w:t>
      </w:r>
    </w:p>
    <w:p>
      <w:r>
        <w:t>For employers and international talent.</w:t>
      </w:r>
    </w:p>
    <w:p>
      <w:r>
        <w:rPr>
          <w:i/>
        </w:rPr>
        <w:t>Healthcare | Hospitality &amp; Tourism | Skilled Technical Workforce</w:t>
      </w:r>
    </w:p>
    <w:p>
      <w:pPr>
        <w:pStyle w:val="Heading1"/>
      </w:pPr>
      <w:r>
        <w:t>Detailed Navigation</w:t>
      </w:r>
    </w:p>
    <w:p>
      <w:r>
        <w:t>Investment &amp; Business Migration</w:t>
      </w:r>
    </w:p>
    <w:p>
      <w:r>
        <w:t xml:space="preserve">  → CBI</w:t>
        <w:br/>
        <w:t xml:space="preserve">  → RBI</w:t>
        <w:br/>
        <w:t xml:space="preserve">  → Business Migration</w:t>
        <w:br/>
        <w:t xml:space="preserve">  → Entrepreneur / Investment Pathways</w:t>
      </w:r>
    </w:p>
    <w:p>
      <w:r>
        <w:t>Global Immigration</w:t>
      </w:r>
    </w:p>
    <w:p>
      <w:r>
        <w:t xml:space="preserve">  → Canada</w:t>
        <w:br/>
        <w:t xml:space="preserve">  → Australia</w:t>
        <w:br/>
        <w:t xml:space="preserve">  → New Zealand</w:t>
        <w:br/>
        <w:t xml:space="preserve">  → Other Destinations</w:t>
      </w:r>
    </w:p>
    <w:p>
      <w:r>
        <w:t>International Workforce Mobility</w:t>
      </w:r>
    </w:p>
    <w:p>
      <w:r>
        <w:t xml:space="preserve">  → Healthcare</w:t>
        <w:br/>
        <w:t xml:space="preserve">  → Hospitality &amp; Tourism</w:t>
        <w:br/>
        <w:t xml:space="preserve">  → Skilled Technical Workforce</w:t>
      </w:r>
    </w:p>
    <w:p>
      <w:pPr>
        <w:pStyle w:val="Heading1"/>
      </w:pPr>
      <w:r>
        <w:t>Recommended Main Navigation</w:t>
      </w:r>
    </w:p>
    <w:p>
      <w:r>
        <w:rPr>
          <w:b/>
        </w:rPr>
        <w:t>Home  |  About Us  |  Investment &amp; Business Migration  |  Global Immigration  |  Workforce Mobility  |  Insights  |  Contact</w:t>
      </w:r>
    </w:p>
    <w:p>
      <w:pPr>
        <w:pStyle w:val="Heading1"/>
      </w:pPr>
      <w:r>
        <w:t>Important Presentation Principle</w:t>
      </w:r>
    </w:p>
    <w:p>
      <w:r>
        <w:t>Do not present CBI, RBI, Canada, Australia, New Zealand, Healthcare, Hospitality and Skilled Technical Workforce as equal standalone businesses on the homepage.</w:t>
      </w:r>
    </w:p>
    <w:p>
      <w:r>
        <w:t>The three pillars should carry the message. Countries, programmes and individual services should sit underneath them.</w:t>
      </w:r>
    </w:p>
    <w:p>
      <w:pPr>
        <w:pStyle w:val="Heading1"/>
      </w:pPr>
      <w:r>
        <w:t>Brand Message</w:t>
      </w:r>
    </w:p>
    <w:p>
      <w:r>
        <w:rPr>
          <w:b/>
        </w:rPr>
        <w:t>We move people internationally.</w:t>
      </w:r>
    </w:p>
    <w:p>
      <w:r>
        <w:t>They may be investors, entrepreneurs, families, professionals or international workers. This creates one coherent Cynosure story instead of several disconnected service offerings.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