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CGR ONE</w:t>
      </w:r>
    </w:p>
    <w:p>
      <w:pPr>
        <w:jc w:val="center"/>
      </w:pPr>
      <w:r>
        <w:rPr>
          <w:b/>
          <w:sz w:val="32"/>
        </w:rPr>
        <w:t>A Global Platform with 20 Years of International Immigration Consulting Experience</w:t>
      </w:r>
    </w:p>
    <w:p/>
    <w:p>
      <w:r>
        <w:rPr>
          <w:b/>
          <w:sz w:val="28"/>
        </w:rPr>
        <w:t>Two Decades of International Experience</w:t>
      </w:r>
    </w:p>
    <w:p>
      <w:r>
        <w:t>CGR ONE is built on more than two decades of experience across immigration, global mobility, international business development and advisory services.</w:t>
      </w:r>
    </w:p>
    <w:p>
      <w:r>
        <w:t>Our journey began in 2006, with the establishment of Cynosure Consultancy Services, followed by the development of an international presence through Cynosure Consulting UK Ltd. The UK experience provided exposure to international clients, cross-border mobility and the complexities of helping individuals and businesses navigate opportunities across jurisdictions.</w:t>
      </w:r>
    </w:p>
    <w:p>
      <w:r>
        <w:t>Over the years, that experience evolved beyond traditional immigration consulting into a broader understanding of global mobility, business development, international recruitment, client management and investment migration.</w:t>
      </w:r>
    </w:p>
    <w:p>
      <w:r>
        <w:t>The subsequent Canadian experience added another important dimension — an understanding of Canada's immigration ecosystem, professional partnerships and the practical realities faced by individuals, families, entrepreneurs and businesses seeking to establish themselves in Canada.</w:t>
      </w:r>
    </w:p>
    <w:p>
      <w:r>
        <w:t>CGR ONE brings these experiences together.</w:t>
      </w:r>
    </w:p>
    <w:p>
      <w:r>
        <w:rPr>
          <w:b/>
          <w:sz w:val="28"/>
        </w:rPr>
        <w:t>Our Approach</w:t>
      </w:r>
    </w:p>
    <w:p>
      <w:r>
        <w:t>Our approach is built around a simple principle: international mobility should begin with strategy, not paperwork.</w:t>
      </w:r>
    </w:p>
    <w:p>
      <w:r>
        <w:t>Every client's circumstances are different. The right solution may involve immigration, residency, business establishment, investment, professional mobility or a combination of these. CGR ONE's role is to help clients understand those possibilities, identify appropriate pathways and coordinate with qualified professionals where regulated advice or representation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