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Canadian Immigration Experience</w:t>
      </w:r>
    </w:p>
    <w:p>
      <w:r>
        <w:t>Srikanth brings significant Canadian immigration and global mobility experience, having worked closely with individuals, families, professionals and businesses navigating the Canadian immigration landscape.</w:t>
      </w:r>
    </w:p>
    <w:p>
      <w:r>
        <w:t>His Canadian experience has included client advisory, immigration case management, business development and coordination with regulated immigration professionals and legal practitioners across a range of immigration matters.</w:t>
      </w:r>
    </w:p>
    <w:p>
      <w:r>
        <w:t>This experience has given him a practical understanding of the Canadian immigration process and, importantly, the challenges clients face when planning their future in Canada.</w:t>
      </w:r>
    </w:p>
    <w:p>
      <w:r>
        <w:t>His approach is centred on clarity, strategic thinking and personal client engagement—understanding the client's broader objectives before identifying the appropriate pathway and professional expertise required.</w:t>
      </w:r>
    </w:p>
    <w:p>
      <w:r>
        <w:t>This Canadian experience now forms an important part of the foundation on which CGR ONE is being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