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Why CGR ONE</w:t>
      </w:r>
    </w:p>
    <w:p>
      <w:r>
        <w:rPr>
          <w:b/>
          <w:sz w:val="28"/>
        </w:rPr>
        <w:t>Building a Global Platform for Immigration, Mobility &amp; Opportunity</w:t>
      </w:r>
    </w:p>
    <w:p>
      <w:r>
        <w:t>CGR ONE was created with a simple vision — to bring strategic immigration and global mobility expertise together with the right professional partners across the world.</w:t>
      </w:r>
    </w:p>
    <w:p>
      <w:r>
        <w:t>With more than two decades of international experience, we understand that moving to another country is about more than an immigration application. It is about people, families, careers, businesses and long-term opportunities.</w:t>
      </w:r>
    </w:p>
    <w:p>
      <w:r>
        <w:t>CGR ONE aims to build a trusted international platform connecting clients with immigration professionals, lawyers and specialist advisors across jurisdictions, providing the right expertise for each stage of their journey.</w:t>
      </w:r>
    </w:p>
    <w:p>
      <w:r>
        <w:rPr>
          <w:b/>
          <w:sz w:val="28"/>
        </w:rPr>
        <w:t>Our Vision</w:t>
      </w:r>
    </w:p>
    <w:p>
      <w:r>
        <w:t>To become a trusted global platform for people and businesses seeking to move, invest, establish and grow internationally.</w:t>
      </w:r>
    </w:p>
    <w:p>
      <w:r>
        <w:rPr>
          <w:b/>
          <w:sz w:val="28"/>
        </w:rPr>
        <w:t>Our Approach</w:t>
      </w:r>
    </w:p>
    <w:p>
      <w:r>
        <w:rPr>
          <w:b/>
        </w:rPr>
        <w:t>Understand. Strategize. Connect. Move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