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Srikanth Koochavaram</w:t>
      </w:r>
    </w:p>
    <w:p>
      <w:pPr>
        <w:jc w:val="center"/>
      </w:pPr>
      <w:r>
        <w:rPr>
          <w:b/>
          <w:sz w:val="26"/>
        </w:rPr>
        <w:t>Founder | Immigration Strategist | Investment Migration | Global Mobility Advisor</w:t>
      </w:r>
    </w:p>
    <w:p/>
    <w:p>
      <w:r>
        <w:rPr>
          <w:b/>
          <w:sz w:val="30"/>
        </w:rPr>
        <w:t>Professional Profile</w:t>
      </w:r>
    </w:p>
    <w:p>
      <w:r>
        <w:t>With more than 20 years of international experience in immigration consulting, global mobility, investment migration and international business development, Srikanth Koochavaram has built a career focused on helping individuals, families, entrepreneurs and businesses navigate cross-border opportunities.</w:t>
      </w:r>
    </w:p>
    <w:p>
      <w:r>
        <w:t>His professional experience spans India, the United Kingdom and Canada, providing him with a broad understanding of international migration markets, client requirements and the practical complexities of establishing a life or business in another jurisdiction.</w:t>
      </w:r>
    </w:p>
    <w:p>
      <w:r>
        <w:t>Over the course of his career, Srikanth has built and managed advisory businesses, developed international client relationships and worked across diverse immigration and mobility environments. His experience extends beyond individual immigration matters into business development, investment migration, international partnerships and strategic client advisory.</w:t>
      </w:r>
    </w:p>
    <w:p>
      <w:r>
        <w:t>A key strength of his approach is understanding the larger objective behind a client's immigration decision—whether that involves permanent residence, business establishment, investment, family relocation or long-term global mobility.</w:t>
      </w:r>
    </w:p>
    <w:p>
      <w:r>
        <w:t>Through CGR ONE, Srikanth is building a global advisory platform that works alongside qualified lawyers, regulated immigration professionals and specialist partners across jurisdictions, bringing the appropriate expertise together for each client's requirements.</w:t>
      </w:r>
    </w:p>
    <w:p>
      <w:r>
        <w:rPr>
          <w:i/>
        </w:rPr>
        <w:t>“The right immigration strategy begins with understanding where you want to go—not simply which application you want to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