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954EF" w14:textId="77777777" w:rsidR="00CB0634" w:rsidRDefault="00377B7D">
      <w:pPr>
        <w:pStyle w:val="Heading1"/>
      </w:pPr>
      <w:bookmarkStart w:id="0" w:name="statistical-analysis"/>
      <w:r>
        <w:t>Statistical analysis</w:t>
      </w:r>
    </w:p>
    <w:p w14:paraId="705C0A65" w14:textId="77777777" w:rsidR="00CB0634" w:rsidRDefault="00377B7D">
      <w:pPr>
        <w:pStyle w:val="Heading2"/>
      </w:pPr>
      <w:bookmarkStart w:id="1" w:name="assay-quality-control"/>
      <w:r>
        <w:t>Assay quality control</w:t>
      </w:r>
    </w:p>
    <w:p w14:paraId="1607C007" w14:textId="77777777" w:rsidR="00CB0634" w:rsidRDefault="00377B7D">
      <w:pPr>
        <w:pStyle w:val="FirstParagraph"/>
      </w:pPr>
      <w:r>
        <w:t>Samples were distributed across assay plates using a design that balanced maternal vaccine group and sampling time point. Each plate included blank wells, a reference preparation and in-house positive controls. Assay runs were accepted only when control measurements and bead counts met prespecified criteria. Measurements outside the validated dynamic range were repeated at an alternative dilution where sufficient sample was available.</w:t>
      </w:r>
    </w:p>
    <w:p w14:paraId="425E7F6B" w14:textId="77777777" w:rsidR="00CB0634" w:rsidRDefault="00377B7D">
      <w:pPr>
        <w:pStyle w:val="Heading2"/>
      </w:pPr>
      <w:bookmarkStart w:id="2" w:name="cross-platform-harmonisation"/>
      <w:bookmarkEnd w:id="1"/>
      <w:r>
        <w:t>Cross-platform harmonisation</w:t>
      </w:r>
    </w:p>
    <w:p w14:paraId="3E4B1286" w14:textId="77777777" w:rsidR="00CB0634" w:rsidRDefault="00377B7D">
      <w:pPr>
        <w:pStyle w:val="FirstParagraph"/>
      </w:pPr>
      <w:r>
        <w:t>Antibody data were drawn from two measurement platforms — a multiplexed bead-array (antigen-specific IgG and IgG subclasses, Fcγ-receptor binding, antibody-dependent complement deposition, cellular phagocytosis and neutrophil phagocytosis, and antigen-specific memory B cells) and whole-cell functional assays (whole-cell IgG, the serum bactericidal assay and the pertussis-toxin neutralisation assay). All values were analysed on the log10 scale.</w:t>
      </w:r>
    </w:p>
    <w:p w14:paraId="611272AC" w14:textId="77777777" w:rsidR="00CB0634" w:rsidRDefault="00377B7D">
      <w:pPr>
        <w:pStyle w:val="BodyText"/>
      </w:pPr>
      <w:r>
        <w:t>Because maternal and cord-blood specimens were assayed on different bead-array plates, and at different times, from the infant 2-month specimens, the maternal/cord and infant timepoints were not initially on a common measurement scale; comparing them directly would have conflated true biological change with plate-to-plate and run-to-run differences in assay response. To make the timepoints comparable, the maternal and cord-blood bead-array values were calibrated onto the infant assay scale using cross-calib</w:t>
      </w:r>
      <w:r>
        <w:t>ration parameters estimated for each feature × antigen × plate × specimen source from shared standard curves. All longitudinal change analyses spanning these specimen sources (maternal-at-birth to cord blood, and cord blood to infant 2 months) were performed after this harmonisation, and the adequacy of the calibration was assessed by examining whether residual per-subject mean shifts were centred on zero (a single displaced distribution would indicate a remaining scalar offset, whereas an antigen- and anal</w:t>
      </w:r>
      <w:r>
        <w:t>yte-structured distribution centred on zero is consistent with biological heterogeneity rather than batch effects). Total IgG, measured through a separate path, was not affected by the bead-array calibration; agreement between the total-IgG and IgG1 signals was used as an internal check that observed effects were biological rather than scaling artefacts.</w:t>
      </w:r>
    </w:p>
    <w:p w14:paraId="1BC62214" w14:textId="77777777" w:rsidR="00CB0634" w:rsidRDefault="00377B7D">
      <w:pPr>
        <w:pStyle w:val="BodyText"/>
      </w:pPr>
      <w:r>
        <w:t xml:space="preserve">In addition to the harmonised (“untransformed”) representation, which reflects total antibody signal, every analysis was repeated in an IgG-standardised representation in which the bulk total-IgG component was removed from each non-total-IgG feature (the feature values were replaced by their residuals after adjustment for total IgG; total-IgG features were carried through unchanged). The untransformed representation therefore captures antibody </w:t>
      </w:r>
      <w:r>
        <w:rPr>
          <w:i/>
          <w:iCs/>
        </w:rPr>
        <w:t>quantity</w:t>
      </w:r>
      <w:r>
        <w:t xml:space="preserve">, and the standardised representation captures antibody </w:t>
      </w:r>
      <w:r>
        <w:rPr>
          <w:i/>
          <w:iCs/>
        </w:rPr>
        <w:t>composition</w:t>
      </w:r>
      <w:r>
        <w:t xml:space="preserve"> or </w:t>
      </w:r>
      <w:r>
        <w:rPr>
          <w:i/>
          <w:iCs/>
        </w:rPr>
        <w:t>quality</w:t>
      </w:r>
      <w:r>
        <w:t xml:space="preserve">, independent of overall IgG magnitude. An effect that persisted after </w:t>
      </w:r>
      <w:r>
        <w:lastRenderedPageBreak/>
        <w:t>standardisation was interpreted as a qualitative (composition) effect rather than a consequence of bulk antibody concentration.</w:t>
      </w:r>
    </w:p>
    <w:p w14:paraId="1B161AD5" w14:textId="77777777" w:rsidR="00CB0634" w:rsidRDefault="00377B7D">
      <w:pPr>
        <w:pStyle w:val="Heading2"/>
      </w:pPr>
      <w:bookmarkStart w:id="3" w:name="outcomes-and-exposures"/>
      <w:bookmarkEnd w:id="2"/>
      <w:r>
        <w:t>Outcomes and exposures</w:t>
      </w:r>
    </w:p>
    <w:p w14:paraId="3A100E62" w14:textId="77777777" w:rsidR="00CB0634" w:rsidRDefault="00377B7D">
      <w:pPr>
        <w:pStyle w:val="FirstParagraph"/>
      </w:pPr>
      <w:r>
        <w:t>The principal functional outcomes were the three whole-cell readouts — the serum bactericidal assay, the pertussis-toxin neutralisation assay and whole-cell IgG — supported by antigen-specific IgG and IgG1 to the vaccine antigens (pertussis toxin, filamentous haemagglutinin, pertactin, fimbriae, diphtheria toxoid and tetanus toxoid). Infant outcomes were examined at the pre-primary 2-month baseline, at the 5-month post-primary response visit and at the 9-month durability visit; the infant’s own 2-month leve</w:t>
      </w:r>
      <w:r>
        <w:t>l of the matched feature served as the baseline anchor.</w:t>
      </w:r>
    </w:p>
    <w:p w14:paraId="15049780" w14:textId="77777777" w:rsidR="00CB0634" w:rsidRDefault="00377B7D">
      <w:pPr>
        <w:pStyle w:val="BodyText"/>
      </w:pPr>
      <w:r>
        <w:t xml:space="preserve">The two randomised exposures were the maternal vaccine arm (pertussis-containing TdaP versus a tetanus-toxoid–containing comparator, TT) and the infant priming schedule (acellular, aP, versus whole-cell, wP), giving a 2 × 2 factorial structure. Throughout, the maternal arm was modelled with TT as the reference and the infant arm with aP as the reference, so that a TdaP coefficient on the log10 scale corresponds, after exponentiation, to a multiplicative TdaP-versus-TT effect. Continuous exposures comprised </w:t>
      </w:r>
      <w:r>
        <w:t>the infant’s 2-month baseline antibody level (the blunting axis) and, for the maternal-timing analysis, the interval from maternal vaccination to delivery (modelled per week), with gestational age at vaccination available as an alternative timing exposure.</w:t>
      </w:r>
    </w:p>
    <w:p w14:paraId="6C34D16E" w14:textId="77777777" w:rsidR="00CB0634" w:rsidRDefault="00377B7D">
      <w:pPr>
        <w:pStyle w:val="Heading2"/>
      </w:pPr>
      <w:bookmarkStart w:id="4" w:name="clinical-and-obstetric-variables"/>
      <w:bookmarkEnd w:id="3"/>
      <w:r>
        <w:t>Clinical and obstetric variables</w:t>
      </w:r>
    </w:p>
    <w:p w14:paraId="41535130" w14:textId="77777777" w:rsidR="00CB0634" w:rsidRDefault="00377B7D">
      <w:pPr>
        <w:pStyle w:val="FirstParagraph"/>
      </w:pPr>
      <w:r>
        <w:t>Clinical variables considered as potential modifiers or adjustment variables included maternal age, parity, body-mass index at enrolment, maternal haemoglobin, mode of delivery, gestational age at maternal vaccination, interval from maternal vaccination to delivery, gestational age at birth, birthweight, infant sex and interval from birth to infant month 2 sampling.</w:t>
      </w:r>
    </w:p>
    <w:p w14:paraId="345E6B64" w14:textId="77777777" w:rsidR="00CB0634" w:rsidRDefault="00377B7D">
      <w:pPr>
        <w:pStyle w:val="Heading2"/>
      </w:pPr>
      <w:bookmarkStart w:id="5" w:name="covariate-selection"/>
      <w:bookmarkEnd w:id="4"/>
      <w:r>
        <w:t>Covariate selection</w:t>
      </w:r>
    </w:p>
    <w:p w14:paraId="254AA3B6" w14:textId="77777777" w:rsidR="00CB0634" w:rsidRDefault="00377B7D">
      <w:pPr>
        <w:pStyle w:val="FirstParagraph"/>
      </w:pPr>
      <w:r>
        <w:t xml:space="preserve">Adjustment variables were specified a priori rather than chosen by data-driven univariate screening. The confirmatory analyses were defined in advance on a fixed grid (the whole-cell outcomes and the pertussis axis, at the 5- and 9-month visits, in both the untransformed and standardised representations), and the structural model terms — maternal arm, infant priming, the matched 2-month baseline and, in the longitudinal model, visit — were entered by design. For the predictive models, a small, biologically </w:t>
      </w:r>
      <w:r>
        <w:t>motivated confounder was pre-specified per outcome, and the sensitivity of the conclusions to a wider clinical confounder block (maternal age, maternal haemoglobin, maternal body-mass index, birthweight and gestational age at birth) was then evaluated as a secondary comparison rather than used for selection. Where a wider set of clinical and obstetric variables was relevant, it was assessed for its incremental contribution but did not drive the primary model specification.</w:t>
      </w:r>
    </w:p>
    <w:p w14:paraId="3B77426D" w14:textId="77777777" w:rsidR="00CB0634" w:rsidRDefault="00377B7D">
      <w:pPr>
        <w:pStyle w:val="Heading2"/>
      </w:pPr>
      <w:bookmarkStart w:id="6" w:name="statistical-analysis-1"/>
      <w:bookmarkEnd w:id="5"/>
      <w:r>
        <w:lastRenderedPageBreak/>
        <w:t>Statistical analysis</w:t>
      </w:r>
    </w:p>
    <w:p w14:paraId="693C2A1C" w14:textId="60520E35" w:rsidR="00CB0634" w:rsidRDefault="00377B7D">
      <w:pPr>
        <w:pStyle w:val="FirstParagraph"/>
      </w:pPr>
      <w:r>
        <w:t xml:space="preserve">Analyses fell into </w:t>
      </w:r>
      <w:r w:rsidR="00056E5C">
        <w:t>five</w:t>
      </w:r>
      <w:r>
        <w:t xml:space="preserve"> components, sharing one harmonised modelling frame and the untransformed/standardised duality described above. All analyses were performed in R.</w:t>
      </w:r>
    </w:p>
    <w:p w14:paraId="44285E32" w14:textId="77777777" w:rsidR="00CB0634" w:rsidRDefault="00377B7D">
      <w:pPr>
        <w:pStyle w:val="BodyText"/>
      </w:pPr>
      <w:r>
        <w:rPr>
          <w:b/>
          <w:bCs/>
        </w:rPr>
        <w:t>Within-individual antibody change across the maternal-to-infant chain.</w:t>
      </w:r>
      <w:r>
        <w:t xml:space="preserve"> Three paired within-subject analyses characterised antibody change across consecutive timepoints: from early-pregnancy pre-vaccination to maternal delivery (the vaccine-boost step), from maternal delivery to cord blood (transplacental transfer), and from cord blood to infant 2 months (neonatal decay before primary immunisation). For each feature, the per-subject change was the difference in log10 values between the later and earlier visit, so that positive values denote an increase (for transfer, cord exce</w:t>
      </w:r>
      <w:r>
        <w:t xml:space="preserve">eding maternal; for decay, a level above the cord value). Per-feature change was summarised by the median change, the proportion of subjects increasing, and Wilcoxon signed-rank and sign tests, and each feature was classified as predominantly increasing, predominantly decreasing or mixed. Results were aggregated by analyte, by antigen and by maternal arm; an arm-specific pattern was taken to indicate a vaccine-driven (biological) effect, and an arm-shared pattern a shared technical or developmental effect. </w:t>
      </w:r>
      <w:r>
        <w:t xml:space="preserve">Coverage and the structure of missing data were tabulated explicitly before interpretation (see </w:t>
      </w:r>
      <w:r>
        <w:rPr>
          <w:i/>
          <w:iCs/>
        </w:rPr>
        <w:t>Missing data</w:t>
      </w:r>
      <w:r>
        <w:t>).</w:t>
      </w:r>
    </w:p>
    <w:p w14:paraId="5BB27ED3" w14:textId="77777777" w:rsidR="00CB0634" w:rsidRDefault="00377B7D">
      <w:pPr>
        <w:pStyle w:val="BodyText"/>
      </w:pPr>
      <w:r>
        <w:rPr>
          <w:b/>
          <w:bCs/>
        </w:rPr>
        <w:t>The six-block maternal-to-infant predictor chain.</w:t>
      </w:r>
      <w:r>
        <w:t xml:space="preserve"> For each whole-cell outcome at the infant 2-month visit, a set of six predictor blocks was fitted to trace where the infant signal originates along the chain: maternal antibody quantity (at the early-pregnancy and delivery visits), gestational subclass class-switching, the quantity transferred across the placenta, subclass-selective placental transfer, the cord-to-infant change in quantity, and subclass-selective cord-to-infant change. Quantity blocks used antigen-specific total IgG (and a full subclass se</w:t>
      </w:r>
      <w:r>
        <w:t>t); class-switching/selectivity blocks used a subclass-polarisation ratio, defined as log10[(IgG1 + IgG3)/(IgG2 + IgG4)], with positive values indicating pro-inflammatory polarisation. Each block was fitted by multivariable ordinary least squares; the explained variance (R² and adjusted R²) and an LMG (Shapley) relative-importance decomposition apportioning R² across predictors were reported, together with per-coefficient estimates and tests. Models were fitted within the maternal arm (TdaP, TT) and, within</w:t>
      </w:r>
      <w:r>
        <w:t xml:space="preserve"> each, pooled across and separately by infant priming, so that the maternal-supply signal could be assessed for booster dependence and for priming-specific pathways.</w:t>
      </w:r>
    </w:p>
    <w:p w14:paraId="60C5C574" w14:textId="77777777" w:rsidR="00CB0634" w:rsidRDefault="00377B7D">
      <w:pPr>
        <w:pStyle w:val="BodyText"/>
      </w:pPr>
      <w:r>
        <w:rPr>
          <w:b/>
          <w:bCs/>
        </w:rPr>
        <w:t>Maternal-arm variance attribution.</w:t>
      </w:r>
      <w:r>
        <w:t xml:space="preserve"> To quantify how much between-infant variance in the post-primary whole-cell outcomes was attributable to the maternal arm, the model outcome ~ maternal_arm × infant_arm (+ baseline) was fitted per outcome, visit (5 and 9 months) and representation. The maternal arm’s contribution was reported both as the Type-II partial η² of the maternal main effect and as its LMG (Shapley) share of the model R², with the maternal × infant interaction’s incremental R² reported separately (the priming-specific maternal “fo</w:t>
      </w:r>
      <w:r>
        <w:t xml:space="preserve">otprint”). Ninety-five-per-cent confidence intervals for every share were obtained by a nonparametric subject-level bootstrap (1000 resamples). The maternal share was additionally re-estimated within each priming stratum and traced across the 2-, 5- and 9-month visits (unadjusted for baseline) to show how much of the </w:t>
      </w:r>
      <w:r>
        <w:lastRenderedPageBreak/>
        <w:t>maternal imprint persisted through the infant’s own response. A clean adjusted TdaP-versus-TT contrast was read from the same baseline-adjusted model as the exponentiated maternal coefficient.</w:t>
      </w:r>
    </w:p>
    <w:p w14:paraId="583637E6" w14:textId="77777777" w:rsidR="00CB0634" w:rsidRDefault="00377B7D">
      <w:pPr>
        <w:pStyle w:val="BodyText"/>
      </w:pPr>
      <w:r>
        <w:rPr>
          <w:b/>
          <w:bCs/>
        </w:rPr>
        <w:t>Maternal-vaccination-timing dose-response.</w:t>
      </w:r>
      <w:r>
        <w:t xml:space="preserve"> Because both arms were vaccinated at varying gestational timing, the interval from vaccination to delivery was treated as a continuous exposure in both arms. Its effect on infant outcomes was estimated pooled across mothers (adjusted for maternal arm and priming), within each arm separately, and as a formal timing × arm interaction; non-linearity was tested with a natural cubic spline (3 degrees of freedom). Because within-arm continuous-exposure power is limited, each slope was reported with its minimum d</w:t>
      </w:r>
      <w:r>
        <w:t>etectable effect size at the target power, so that a non-significant slope with a small minimum detectable effect could be reported as an informative null and one with a large minimum detectable effect labelled uninformative.</w:t>
      </w:r>
    </w:p>
    <w:p w14:paraId="6DFDDB6C" w14:textId="1FE81E02" w:rsidR="00056E5C" w:rsidRPr="00056E5C" w:rsidRDefault="00056E5C" w:rsidP="00056E5C">
      <w:pPr>
        <w:pStyle w:val="Heading2"/>
        <w:rPr>
          <w:color w:val="auto"/>
        </w:rPr>
      </w:pPr>
      <w:bookmarkStart w:id="7" w:name="X4623614815234a6ef2d3b7acef284ad0cb46780"/>
      <w:r w:rsidRPr="00056E5C">
        <w:rPr>
          <w:rFonts w:asciiTheme="minorHAnsi" w:hAnsiTheme="minorHAnsi"/>
          <w:b/>
          <w:bCs/>
          <w:color w:val="auto"/>
          <w:sz w:val="24"/>
          <w:szCs w:val="24"/>
        </w:rPr>
        <w:t>Maternal prediction model and concurrent model</w:t>
      </w:r>
      <w:r w:rsidRPr="00056E5C">
        <w:rPr>
          <w:rFonts w:asciiTheme="minorHAnsi" w:hAnsiTheme="minorHAnsi"/>
          <w:b/>
          <w:bCs/>
          <w:color w:val="auto"/>
          <w:sz w:val="24"/>
          <w:szCs w:val="24"/>
        </w:rPr>
        <w:t xml:space="preserve">. </w:t>
      </w:r>
      <w:r w:rsidRPr="00056E5C">
        <w:rPr>
          <w:rFonts w:asciiTheme="minorHAnsi" w:hAnsiTheme="minorHAnsi"/>
          <w:color w:val="auto"/>
          <w:sz w:val="24"/>
          <w:szCs w:val="24"/>
        </w:rPr>
        <w:t>For each whole-cell outcome at the infant 2-month baseline, a predictive model was built hierarchically: maternal arm, then the pre-specified clinical confounder, then matched antigen-specific total IgG, then matched IgG1, then an effector block (Fcγ-receptor 2a binding and antibody-dependent complement deposition for all six antigens), with each block’s incremental adjusted R² evaluated. Model performance was summarised by in-sample fit penalised for parameters (adjusted R², AIC) and by honest out-of-sample error from 10-fold cross-validation (cross-validated RMSE and R²); models were compared on cross-validated error and parsimony rather than on raw R².</w:t>
      </w:r>
    </w:p>
    <w:p w14:paraId="3ED7B9B7" w14:textId="20420672" w:rsidR="00056E5C" w:rsidRDefault="00056E5C" w:rsidP="00056E5C">
      <w:pPr>
        <w:pStyle w:val="BodyText"/>
      </w:pPr>
      <w:r>
        <w:t xml:space="preserve">Because part of what a whole-cell assay measures is re-measured by the antigen-specific assay on the </w:t>
      </w:r>
      <w:r>
        <w:rPr>
          <w:i/>
          <w:iCs/>
        </w:rPr>
        <w:t>same</w:t>
      </w:r>
      <w:r>
        <w:t xml:space="preserve"> blood draw, a concurrent predictor measured at the infant 2-month visit can share measurement variance with the outcome and inflate apparent prediction. To separate honest forward prediction from same-occasion co-measurement, the matched antibody terms were entered from two timepoints: a concurrent model, using the 2-month (same-draw) measurement, and a maternal model, using the temporally prior maternal-at-delivery measurement, which cannot share a measurement occasion with the outcome. The two were contrasted directly, and both were entered together in a combined model. A large excess of the concurrent over the maternal R², with a much smaller concurrent residual standard deviation and concurrent terms that retained significance while the prior terms attenuated, was taken as the signature of shared-sample co-measurement. The maternal-at-delivery model was therefore reported as the primary predictor — its predictors precede the outcome and cannot co-measure it — and the concurrent model was presented as a descriptive upper bound, with the magnitude of the inflation reported explicitly. Cross-validation was noted to control optimism but not this same-occasion confound, since a concurrent predictor co-measures the outcome within every fold; the maternal-versus-concurrent contrast, not cross-validation, is what addresses it.</w:t>
      </w:r>
    </w:p>
    <w:bookmarkEnd w:id="7"/>
    <w:p w14:paraId="2755BFFC" w14:textId="77777777" w:rsidR="00056E5C" w:rsidRDefault="00056E5C">
      <w:pPr>
        <w:pStyle w:val="BodyText"/>
      </w:pPr>
    </w:p>
    <w:p w14:paraId="1B3A24B9" w14:textId="77777777" w:rsidR="00CB0634" w:rsidRDefault="00377B7D">
      <w:pPr>
        <w:pStyle w:val="Heading2"/>
      </w:pPr>
      <w:bookmarkStart w:id="8" w:name="missing-data-and-model-diagnostics"/>
      <w:bookmarkEnd w:id="6"/>
      <w:r>
        <w:lastRenderedPageBreak/>
        <w:t>Missing data and model diagnostics</w:t>
      </w:r>
    </w:p>
    <w:p w14:paraId="209F8C99" w14:textId="77777777" w:rsidR="00CB0634" w:rsidRDefault="00377B7D">
      <w:pPr>
        <w:pStyle w:val="FirstParagraph"/>
      </w:pPr>
      <w:r>
        <w:t>Sample availability differed across features, and the sources of missingness were distinguished because they carry different implications for bias: features not assayed at a given visit (a structural panel gap, not correctable from the data); panels run on different subject sub-cohorts at the two visits (a batch/rollout structure); subjects present at one visit but not the other (dropout, which contributes to a cross-sectional count but not to a paired comparison); and feature-level quality-control failures</w:t>
      </w:r>
      <w:r>
        <w:t xml:space="preserve"> within otherwise-assayed subjects. For each paired comparison, per-feature coverage (the number of subjects with a valid value at each visit and at both) was tabulated and displayed as coverage heatmaps and waterfall plots, and the subject-level coverage pattern was inspected for the discrete plateaus that signal assay-batch structure. Analyses used the subjects with complete data for the variables in each model (complete-case analysis); models in a given family were fitted on a common set of rows so that </w:t>
      </w:r>
      <w:r>
        <w:t>information criteria, cross-validation and nested tests were comparable, and a minimum cell size was required before a model was estimated (25 complete observations for the variance-attribution cells and 40 for the longitudinal mixed model). No imputation was performed; the limitation that subjects contributing to one analyte’s analysis may not be the same population as another’s was noted where features were pooled.</w:t>
      </w:r>
    </w:p>
    <w:p w14:paraId="23E196AF" w14:textId="77777777" w:rsidR="00CB0634" w:rsidRDefault="00377B7D">
      <w:pPr>
        <w:pStyle w:val="BodyText"/>
      </w:pPr>
      <w:r>
        <w:t>Model adequacy was assessed by inspection of residual-versus-fitted and normal quantile–quantile plots for the selected models, with formal tests of residual normality (Shapiro–Wilk) and homoscedasticity (Breusch–Pagan) reported alongside the fit statistics. For the multivariable predictive models, collinearity among predictors was assessed by variance-inflation factors and by the correlation matrix of the coefficient estimates. Variance shares were reported as both the order-independent LMG (Shapley) decom</w:t>
      </w:r>
      <w:r>
        <w:t>position and the Type-II partial η² to guard against either being read in isolation, and the least-powered estimates (interaction terms and priming-stratified shares) were interpreted from their bootstrap confidence intervals rather than their point estimates.</w:t>
      </w:r>
      <w:bookmarkEnd w:id="0"/>
      <w:bookmarkEnd w:id="8"/>
    </w:p>
    <w:sectPr w:rsidR="00CB06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8416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14227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634"/>
    <w:rsid w:val="00056E5C"/>
    <w:rsid w:val="00377B7D"/>
    <w:rsid w:val="007B1577"/>
    <w:rsid w:val="00936CB4"/>
    <w:rsid w:val="00CB0634"/>
    <w:rsid w:val="00D60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81457"/>
  <w15:docId w15:val="{8135B575-123E-48C5-8FAD-BEA3D2E03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2199</Words>
  <Characters>12535</Characters>
  <Application>Microsoft Office Word</Application>
  <DocSecurity>0</DocSecurity>
  <Lines>104</Lines>
  <Paragraphs>29</Paragraphs>
  <ScaleCrop>false</ScaleCrop>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S. Zens</dc:creator>
  <cp:keywords/>
  <cp:lastModifiedBy>Michael S. Zens</cp:lastModifiedBy>
  <cp:revision>3</cp:revision>
  <dcterms:created xsi:type="dcterms:W3CDTF">2026-06-26T20:44:00Z</dcterms:created>
  <dcterms:modified xsi:type="dcterms:W3CDTF">2026-06-26T20:45:00Z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