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GaPs — maternal–infant antibody pathway (Supplemental Table S1 summary)</w:t>
      </w:r>
    </w:p>
    <w:p>
      <w:pPr>
        <w:pStyle w:val="Subtitle"/>
      </w:pPr>
      <w:r>
        <w:t xml:space="preserve">Within-subject production, placental transfer, and postnatal decay</w:t>
      </w:r>
    </w:p>
    <w:p>
      <w:pPr>
        <w:pStyle w:val="Author"/>
      </w:pPr>
      <w:r>
        <w:t xml:space="preserve">Scot Zens and Anja Saso</w:t>
      </w:r>
    </w:p>
    <w:p>
      <w:pPr>
        <w:pStyle w:val="Date"/>
      </w:pPr>
      <w:r>
        <w:t xml:space="preserve">2026-07-02</w:t>
      </w:r>
    </w:p>
    <w:p>
      <w:pPr>
        <w:pStyle w:val="FirstParagraph"/>
      </w:pPr>
      <w:r>
        <w:t xml:space="preserve">01</w:t>
      </w:r>
    </w:p>
    <w:p>
      <w:pPr>
        <w:pStyle w:val="BodyText"/>
      </w:pPr>
      <w:r>
        <w:t xml:space="preserve">Maternal production</w:t>
      </w:r>
    </w:p>
    <w:p>
      <w:pPr>
        <w:pStyle w:val="BodyText"/>
      </w:pPr>
      <w:r>
        <w:t xml:space="preserve">PregEarly → delivery</w:t>
      </w:r>
    </w:p>
    <w:p>
      <w:pPr>
        <w:pStyle w:val="BodyText"/>
      </w:pPr>
      <w:r>
        <w:t xml:space="preserve">Antigen</w:t>
      </w:r>
    </w:p>
    <w:p>
      <w:pPr>
        <w:pStyle w:val="BodyText"/>
      </w:pPr>
      <w:r>
        <w:t xml:space="preserve">Total IgG</w:t>
      </w:r>
    </w:p>
    <w:p>
      <w:pPr>
        <w:pStyle w:val="BodyText"/>
      </w:pPr>
      <w:r>
        <w:t xml:space="preserve">IgG3</w:t>
      </w:r>
    </w:p>
    <w:p>
      <w:pPr>
        <w:pStyle w:val="BodyText"/>
      </w:pPr>
      <w:r>
        <w:t xml:space="preserve">IgG1</w:t>
      </w:r>
    </w:p>
    <w:p>
      <w:pPr>
        <w:pStyle w:val="BodyText"/>
      </w:pPr>
      <w:r>
        <w:t xml:space="preserve">IgG2</w:t>
      </w:r>
    </w:p>
    <w:p>
      <w:pPr>
        <w:pStyle w:val="BodyText"/>
      </w:pPr>
      <w:r>
        <w:t xml:space="preserve">IgG4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+0.161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+0.042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+0.148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+0.036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FHA</w:t>
      </w:r>
    </w:p>
    <w:p>
      <w:pPr>
        <w:pStyle w:val="BodyText"/>
      </w:pPr>
      <w:r>
        <w:t xml:space="preserve">+0.138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+0.044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+0.292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</w:t>
      </w:r>
    </w:p>
    <w:p>
      <w:pPr>
        <w:pStyle w:val="BodyText"/>
      </w:pPr>
      <w:r>
        <w:t xml:space="preserve">-0.026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</w:t>
      </w:r>
    </w:p>
    <w:p>
      <w:pPr>
        <w:pStyle w:val="BodyText"/>
      </w:pPr>
      <w:r>
        <w:t xml:space="preserve">PRN</w:t>
      </w:r>
    </w:p>
    <w:p>
      <w:pPr>
        <w:pStyle w:val="BodyText"/>
      </w:pPr>
      <w:r>
        <w:t xml:space="preserve">+0.142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+0.100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+0.025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+0.013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FIM</w:t>
      </w:r>
    </w:p>
    <w:p>
      <w:pPr>
        <w:pStyle w:val="BodyText"/>
      </w:pPr>
      <w:r>
        <w:t xml:space="preserve">+0.042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TT</w:t>
      </w:r>
    </w:p>
    <w:p>
      <w:pPr>
        <w:pStyle w:val="BodyText"/>
      </w:pPr>
      <w:r>
        <w:t xml:space="preserve">-0.011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-0.012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-0.008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+0.016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+0.032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DT</w:t>
      </w:r>
    </w:p>
    <w:p>
      <w:pPr>
        <w:pStyle w:val="BodyText"/>
      </w:pPr>
      <w:r>
        <w:t xml:space="preserve">+0.041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+0.007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+0.033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+0.023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02</w:t>
      </w:r>
    </w:p>
    <w:p>
      <w:pPr>
        <w:pStyle w:val="BodyText"/>
      </w:pPr>
      <w:r>
        <w:t xml:space="preserve">Placental transfer</w:t>
      </w:r>
    </w:p>
    <w:p>
      <w:pPr>
        <w:pStyle w:val="BodyText"/>
      </w:pPr>
      <w:r>
        <w:t xml:space="preserve">delivery → cord</w:t>
      </w:r>
    </w:p>
    <w:p>
      <w:pPr>
        <w:pStyle w:val="BodyText"/>
      </w:pPr>
      <w:r>
        <w:t xml:space="preserve">Antigen</w:t>
      </w:r>
    </w:p>
    <w:p>
      <w:pPr>
        <w:pStyle w:val="BodyText"/>
      </w:pPr>
      <w:r>
        <w:t xml:space="preserve">Total IgG</w:t>
      </w:r>
    </w:p>
    <w:p>
      <w:pPr>
        <w:pStyle w:val="BodyText"/>
      </w:pPr>
      <w:r>
        <w:t xml:space="preserve">IgG3</w:t>
      </w:r>
    </w:p>
    <w:p>
      <w:pPr>
        <w:pStyle w:val="BodyText"/>
      </w:pPr>
      <w:r>
        <w:t xml:space="preserve">IgG1</w:t>
      </w:r>
    </w:p>
    <w:p>
      <w:pPr>
        <w:pStyle w:val="BodyText"/>
      </w:pPr>
      <w:r>
        <w:t xml:space="preserve">IgG2</w:t>
      </w:r>
    </w:p>
    <w:p>
      <w:pPr>
        <w:pStyle w:val="BodyText"/>
      </w:pPr>
      <w:r>
        <w:t xml:space="preserve">IgG4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+0.092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-0.057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+0.025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-0.058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</w:t>
      </w:r>
    </w:p>
    <w:p>
      <w:pPr>
        <w:pStyle w:val="BodyText"/>
      </w:pPr>
      <w:r>
        <w:t xml:space="preserve">FHA</w:t>
      </w:r>
    </w:p>
    <w:p>
      <w:pPr>
        <w:pStyle w:val="BodyText"/>
      </w:pPr>
      <w:r>
        <w:t xml:space="preserve">+0.099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-0.066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+0.113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+0.024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PRN</w:t>
      </w:r>
    </w:p>
    <w:p>
      <w:pPr>
        <w:pStyle w:val="BodyText"/>
      </w:pPr>
      <w:r>
        <w:t xml:space="preserve">+0.037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-0.082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+0.037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-0.043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-0.005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</w:t>
      </w:r>
    </w:p>
    <w:p>
      <w:pPr>
        <w:pStyle w:val="BodyText"/>
      </w:pPr>
      <w:r>
        <w:t xml:space="preserve">FIM</w:t>
      </w:r>
    </w:p>
    <w:p>
      <w:pPr>
        <w:pStyle w:val="BodyText"/>
      </w:pPr>
      <w:r>
        <w:t xml:space="preserve">+0.062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TT</w:t>
      </w:r>
    </w:p>
    <w:p>
      <w:pPr>
        <w:pStyle w:val="BodyText"/>
      </w:pPr>
      <w:r>
        <w:t xml:space="preserve">+0.107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-0.031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+0.071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-0.001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-0.023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</w:t>
      </w:r>
    </w:p>
    <w:p>
      <w:pPr>
        <w:pStyle w:val="BodyText"/>
      </w:pPr>
      <w:r>
        <w:t xml:space="preserve">DT</w:t>
      </w:r>
    </w:p>
    <w:p>
      <w:pPr>
        <w:pStyle w:val="BodyText"/>
      </w:pPr>
      <w:r>
        <w:t xml:space="preserve">+0.057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-0.065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+0.081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-0.023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-0.034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Postnatal decay</w:t>
      </w:r>
    </w:p>
    <w:p>
      <w:pPr>
        <w:pStyle w:val="BodyText"/>
      </w:pPr>
      <w:r>
        <w:t xml:space="preserve">cord → 8 weeks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·</w:t>
      </w:r>
      <w:r>
        <w:t xml:space="preserve"> </w:t>
      </w:r>
      <w:r>
        <w:t xml:space="preserve">decrease</w:t>
      </w:r>
      <w:r>
        <w:t xml:space="preserve"> </w:t>
      </w:r>
      <w:r>
        <w:t xml:space="preserve">— each bar is the % of subjects moving each way; the upper bar is the</w:t>
      </w:r>
      <w:r>
        <w:t xml:space="preserve"> </w:t>
      </w:r>
      <w:r>
        <w:t xml:space="preserve">Tdap-IPV</w:t>
      </w:r>
      <w:r>
        <w:t xml:space="preserve"> </w:t>
      </w:r>
      <w:r>
        <w:t xml:space="preserve">arm, the lower bar the</w:t>
      </w:r>
      <w:r>
        <w:t xml:space="preserve"> </w:t>
      </w:r>
      <w:r>
        <w:t xml:space="preserve">TT</w:t>
      </w:r>
      <w:r>
        <w:t xml:space="preserve"> </w:t>
      </w:r>
      <w:r>
        <w:t xml:space="preserve">arm. Number = pooled median Δlog</w:t>
      </w:r>
      <w:r>
        <w:t xml:space="preserve">10</w:t>
      </w:r>
      <w:r>
        <w:t xml:space="preserve">. Stars = Benjamini–Hochberg q within each stage×antigen family (across the five series, pooled):</w:t>
      </w:r>
      <w: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q&lt;.05,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q&lt;.01,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q&lt;.001. PT=pertussis toxin. FHA=filamentous haemagglutinin. PRN=pertactin. FIM=fimbriae 2/3. TT=tetanus toxoid. DT=diphtheria toxoid.</w:t>
      </w:r>
    </w:p>
    <w:p>
      <w:pPr>
        <w:pStyle w:val="BodyText"/>
      </w:pPr>
      <w:r>
        <w:t xml:space="preserve">Antigen</w:t>
      </w:r>
    </w:p>
    <w:p>
      <w:pPr>
        <w:pStyle w:val="BodyText"/>
      </w:pPr>
      <w:r>
        <w:t xml:space="preserve">Total IgG</w:t>
      </w:r>
    </w:p>
    <w:p>
      <w:pPr>
        <w:pStyle w:val="BodyText"/>
      </w:pPr>
      <w:r>
        <w:t xml:space="preserve">IgG3</w:t>
      </w:r>
    </w:p>
    <w:p>
      <w:pPr>
        <w:pStyle w:val="BodyText"/>
      </w:pPr>
      <w:r>
        <w:t xml:space="preserve">IgG1</w:t>
      </w:r>
    </w:p>
    <w:p>
      <w:pPr>
        <w:pStyle w:val="BodyText"/>
      </w:pPr>
      <w:r>
        <w:t xml:space="preserve">IgG2</w:t>
      </w:r>
    </w:p>
    <w:p>
      <w:pPr>
        <w:pStyle w:val="BodyText"/>
      </w:pPr>
      <w:r>
        <w:t xml:space="preserve">IgG4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-0.575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+0.263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-0.411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+0.031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</w:t>
      </w:r>
    </w:p>
    <w:p>
      <w:pPr>
        <w:pStyle w:val="BodyText"/>
      </w:pPr>
      <w:r>
        <w:t xml:space="preserve">+0.212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FHA</w:t>
      </w:r>
    </w:p>
    <w:p>
      <w:pPr>
        <w:pStyle w:val="BodyText"/>
      </w:pPr>
      <w:r>
        <w:t xml:space="preserve">-0.581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-0.084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-0.167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+0.459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-0.166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PRN</w:t>
      </w:r>
    </w:p>
    <w:p>
      <w:pPr>
        <w:pStyle w:val="BodyText"/>
      </w:pPr>
      <w:r>
        <w:t xml:space="preserve">-0.600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-0.057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-0.262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-0.045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</w:t>
      </w:r>
    </w:p>
    <w:p>
      <w:pPr>
        <w:pStyle w:val="BodyText"/>
      </w:pPr>
      <w:r>
        <w:t xml:space="preserve">+0.119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FIM</w:t>
      </w:r>
    </w:p>
    <w:p>
      <w:pPr>
        <w:pStyle w:val="BodyText"/>
      </w:pPr>
      <w:r>
        <w:t xml:space="preserve">-0.584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TT</w:t>
      </w:r>
    </w:p>
    <w:p>
      <w:pPr>
        <w:pStyle w:val="BodyText"/>
      </w:pPr>
      <w:r>
        <w:t xml:space="preserve">-0.624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-0.001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-0.154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+0.152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+0.705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DT</w:t>
      </w:r>
    </w:p>
    <w:p>
      <w:pPr>
        <w:pStyle w:val="BodyText"/>
      </w:pPr>
      <w:r>
        <w:t xml:space="preserve">-0.601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+0.144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-0.288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p>
      <w:pPr>
        <w:pStyle w:val="BodyText"/>
      </w:pPr>
      <w:r>
        <w:t xml:space="preserve">+0.063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+0.517</w:t>
      </w:r>
      <w:r>
        <w:t xml:space="preserve"> </w:t>
      </w:r>
      <w:r>
        <w:t xml:space="preserve">Tdap</w:t>
      </w:r>
      <w:r>
        <w:t xml:space="preserve">TT</w:t>
      </w: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***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GaPs — maternal–infant antibody pathway (Supplemental Table S1 summary)</dc:title>
  <dc:creator>Scot Zens and Anja Saso</dc:creator>
  <cp:keywords/>
  <dcterms:created xsi:type="dcterms:W3CDTF">2026-07-02T15:05:31Z</dcterms:created>
  <dcterms:modified xsi:type="dcterms:W3CDTF">2026-07-02T15:05:31Z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  <property fmtid="{D5CDD505-2E9C-101B-9397-08002B2CF9AE}" pid="3" name="output">
    <vt:lpwstr/>
  </property>
  <property fmtid="{D5CDD505-2E9C-101B-9397-08002B2CF9AE}" pid="4" name="subtitle">
    <vt:lpwstr>Within-subject production, placental transfer, and postnatal decay</vt:lpwstr>
  </property>
</Properties>
</file>